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318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[Federal Register Volume 86, Number 228 (Wednesday, December 1, 2021)]</w:t>
      </w:r>
    </w:p>
    <w:p w14:paraId="3E7FD6C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[Rules and Regulations]</w:t>
      </w:r>
    </w:p>
    <w:p w14:paraId="495E790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[Pages 68150-68159]</w:t>
      </w:r>
    </w:p>
    <w:p w14:paraId="48554C3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From the Federal Register Online via the Government Publishing Office [</w:t>
      </w:r>
      <w:hyperlink r:id="rId4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www.gpo.gov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</w:t>
      </w:r>
    </w:p>
    <w:p w14:paraId="0B58E76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[FR Doc No: 2021-25091]</w:t>
      </w:r>
    </w:p>
    <w:p w14:paraId="6CB2B1C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E5A610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C4925A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=======================================================================</w:t>
      </w:r>
    </w:p>
    <w:p w14:paraId="6D35746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-----------------------------------------------------------------------</w:t>
      </w:r>
    </w:p>
    <w:p w14:paraId="36BF178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BF6E2A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ENVIRONMENTAL PROTECTION AGENCY</w:t>
      </w:r>
    </w:p>
    <w:p w14:paraId="2962BCA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BEBEFD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40 CFR Part 180</w:t>
      </w:r>
    </w:p>
    <w:p w14:paraId="355BF1A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3526D8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[EPA-HQ-OPP-2016-0352 and EPA-HQ-OPP-2019-0560; FRL-8945-01-OCSPP]</w:t>
      </w:r>
    </w:p>
    <w:p w14:paraId="2C3FE5E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A6381F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67CEF2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Bifenthrin; Pesticide Tolerances</w:t>
      </w:r>
    </w:p>
    <w:p w14:paraId="41EF03D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972CE5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AGENCY: Environmental Protection Agency (EPA).</w:t>
      </w:r>
    </w:p>
    <w:p w14:paraId="146359F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27E471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ACTION: Final rule.</w:t>
      </w:r>
    </w:p>
    <w:p w14:paraId="0179533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678FD2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-----------------------------------------------------------------------</w:t>
      </w:r>
    </w:p>
    <w:p w14:paraId="0A949B2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21138A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[[Page 68151]]</w:t>
      </w:r>
    </w:p>
    <w:p w14:paraId="69B6CB5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4A4F14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SUMMARY: This regulation establishes tolerances for residues of </w:t>
      </w:r>
    </w:p>
    <w:p w14:paraId="66C8862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bifenthrin in or on multiple commodities which are identified and </w:t>
      </w:r>
    </w:p>
    <w:p w14:paraId="35CF9F2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discussed later in this document. The Interregional Project Number 4 </w:t>
      </w:r>
    </w:p>
    <w:p w14:paraId="791A316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(IR-4) and FMC Corporation requested these tolerances under the Federal </w:t>
      </w:r>
    </w:p>
    <w:p w14:paraId="7CE51A4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Food, Drug, and Cosmetic Act (FFDCA).</w:t>
      </w:r>
    </w:p>
    <w:p w14:paraId="7C2DC69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327B27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DATES: This regulation is effective December 1, 2021. Objections and </w:t>
      </w:r>
    </w:p>
    <w:p w14:paraId="24F680E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requests for hearings must be received on or before January 31, 2022 </w:t>
      </w:r>
    </w:p>
    <w:p w14:paraId="1FBD146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must be filed in accordance with the instructions provided in 40 </w:t>
      </w:r>
    </w:p>
    <w:p w14:paraId="33C4EAD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CFR part 178 (see also Unit I.C. of the SUPPLEMENTARY INFORMATION).</w:t>
      </w:r>
    </w:p>
    <w:p w14:paraId="24722D1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B39D12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ADDRESSES: The dockets for this action, identified by docket </w:t>
      </w:r>
    </w:p>
    <w:p w14:paraId="0418DB2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identification (ID) number EPA-HQ-OPP-2016-0352 and EPA-HQ-OPP-2019-</w:t>
      </w:r>
    </w:p>
    <w:p w14:paraId="489BF37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0560, are available at </w:t>
      </w:r>
      <w:hyperlink r:id="rId5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http://www.regulations.gov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or at the Office of </w:t>
      </w:r>
    </w:p>
    <w:p w14:paraId="21D7A14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Pesticide Programs Regulatory Public Docket (OPP Docket) in the </w:t>
      </w:r>
    </w:p>
    <w:p w14:paraId="6851F49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Environmental Protection Agency Docket Center (EPA/DC), West William </w:t>
      </w:r>
    </w:p>
    <w:p w14:paraId="2B21CEC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Jefferson Clinton Bldg., Rm. 3334, 1301 Constitution Ave. NW, </w:t>
      </w:r>
    </w:p>
    <w:p w14:paraId="4B06746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Washington, DC 20460-0001. The Public Reading Room is open from 8:30 </w:t>
      </w:r>
    </w:p>
    <w:p w14:paraId="51AD1BB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a.m. to 4:30 p.m., Monday through Friday, excluding legal holidays. The </w:t>
      </w:r>
    </w:p>
    <w:p w14:paraId="790C219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telephone number for the Public Reading Room is (202) 566-1744, and the </w:t>
      </w:r>
    </w:p>
    <w:p w14:paraId="6171012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telephone number for the OPP Docket is (703) 305-5805.</w:t>
      </w:r>
    </w:p>
    <w:p w14:paraId="4746460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Due to the public health concerns related to COVID-19, the EPA </w:t>
      </w:r>
    </w:p>
    <w:p w14:paraId="6DF8727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Docket Center (EPA/DC) and Reading Room is closed to visitors with </w:t>
      </w:r>
    </w:p>
    <w:p w14:paraId="6F4C6B3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limited exceptions. The staff continues to provide remote customer </w:t>
      </w:r>
    </w:p>
    <w:p w14:paraId="61B90B8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service via email, phone, and webform. For the latest status </w:t>
      </w:r>
    </w:p>
    <w:p w14:paraId="12FCBE1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information on EPA/DC services and docket access, visit </w:t>
      </w:r>
      <w:hyperlink r:id="rId6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https://www.epa.gov/dockets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51670F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8F7CAE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FOR FURTHER INFORMATION CONTACT: Marietta Echeverria, Acting Director, </w:t>
      </w:r>
    </w:p>
    <w:p w14:paraId="652FFBB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Registration Division (7505P), Office of Pesticide Programs, </w:t>
      </w:r>
    </w:p>
    <w:p w14:paraId="7CD7DE8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Environmental Protection Agency, 1200 Pennsylvania Ave. NW, Washington, </w:t>
      </w:r>
    </w:p>
    <w:p w14:paraId="008220A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DC 20460-0001; main telephone number: (703) 305-7090; email address: </w:t>
      </w:r>
    </w:p>
    <w:p w14:paraId="1B2BF86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hyperlink r:id="rId7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RDFRNotices@epa.gov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0E4FDF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BF0498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SUPPLEMENTARY INFORMATION:</w:t>
      </w:r>
    </w:p>
    <w:p w14:paraId="7C40CEB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D471F0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I. General Information</w:t>
      </w:r>
    </w:p>
    <w:p w14:paraId="0C7DC2E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FAA173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A. Does this action apply to me?</w:t>
      </w:r>
    </w:p>
    <w:p w14:paraId="4B488A6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38F2052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You may be potentially affected by this action if you are an </w:t>
      </w:r>
    </w:p>
    <w:p w14:paraId="37BBA4E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agricultural producer, food manufacturer, or pesticide manufacturer. </w:t>
      </w:r>
    </w:p>
    <w:p w14:paraId="34B2B4B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following list of North American Industrial Classification System </w:t>
      </w:r>
    </w:p>
    <w:p w14:paraId="46CBDF8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(NAICS) codes is not intended to be exhaustive, but rather provides a </w:t>
      </w:r>
    </w:p>
    <w:p w14:paraId="164AC1A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guide to help readers determine whether this document applies to them. </w:t>
      </w:r>
    </w:p>
    <w:p w14:paraId="4CF37FA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Potentially affected entities may include:</w:t>
      </w:r>
    </w:p>
    <w:p w14:paraId="34740F2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Crop production (NAICS code 111).</w:t>
      </w:r>
    </w:p>
    <w:p w14:paraId="6376A9A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Animal production (NAICS code 112).</w:t>
      </w:r>
    </w:p>
    <w:p w14:paraId="5A566A7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Food manufacturing (NAICS code 311).</w:t>
      </w:r>
    </w:p>
    <w:p w14:paraId="404037E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Pesticide manufacturing (NAICS code 32532).</w:t>
      </w:r>
    </w:p>
    <w:p w14:paraId="7AAE0B8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1FD667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B. How can I get electronic access to other related information?</w:t>
      </w:r>
    </w:p>
    <w:p w14:paraId="7150485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FF3B6B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You may access a frequently updated electronic version of EPA's </w:t>
      </w:r>
    </w:p>
    <w:p w14:paraId="33B4EF6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tolerance regulations at 40 CFR part 180 through the Government </w:t>
      </w:r>
    </w:p>
    <w:p w14:paraId="3F52393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Publishing Office's e-CFR site at </w:t>
      </w:r>
      <w:hyperlink r:id="rId8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http://www.ecfr.gov/cgi-bin/text-idx?&amp;c=ecfr&amp;tpl=/ecfrbrowse/Title40/40tab_02.tpl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06995D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7DA584E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C. How can I file an objection or hearing request?</w:t>
      </w:r>
    </w:p>
    <w:p w14:paraId="51E7CC0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48A56F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Under FFDCA section 408(g), 21 U.S.C. 346a, any person may file an </w:t>
      </w:r>
    </w:p>
    <w:p w14:paraId="0A36632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objection to any aspect of this regulation and may also request a </w:t>
      </w:r>
    </w:p>
    <w:p w14:paraId="63875FF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hearing on those objections. You must file your objection or request a </w:t>
      </w:r>
    </w:p>
    <w:p w14:paraId="5B7A079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hearing on this regulation in accordance with the instructions provided </w:t>
      </w:r>
    </w:p>
    <w:p w14:paraId="7381D27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 40 CFR part 178. To ensure proper receipt by EPA, you must identify </w:t>
      </w:r>
    </w:p>
    <w:p w14:paraId="567327C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docket ID numbers EPA-HQ-OPP-2016-0352 and EPA-HQ-OPP-2019-0560 in the </w:t>
      </w:r>
    </w:p>
    <w:p w14:paraId="1ACA829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subject line on the first page of your submission. All objections and </w:t>
      </w:r>
    </w:p>
    <w:p w14:paraId="65FFDD2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requests for a hearing must be in writing and must be received by the </w:t>
      </w:r>
    </w:p>
    <w:p w14:paraId="23D2F66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Hearing Clerk on or before January 31, 2022. Addresses for mail and </w:t>
      </w:r>
    </w:p>
    <w:p w14:paraId="6F43CF3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hand delivery of objections and hearing requests are provided in 40 CFR </w:t>
      </w:r>
    </w:p>
    <w:p w14:paraId="17707BB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178.25(b).</w:t>
      </w:r>
    </w:p>
    <w:p w14:paraId="5147117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In addition to filing an objection or hearing request with the </w:t>
      </w:r>
    </w:p>
    <w:p w14:paraId="2E76EBD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Hearing Clerk as described in 40 CFR part 178, please submit a copy of </w:t>
      </w:r>
    </w:p>
    <w:p w14:paraId="23423B2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filing (excluding any Confidential Business Information (CBI)) for </w:t>
      </w:r>
    </w:p>
    <w:p w14:paraId="3EE3E27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inclusion in the public docket. Information not marked confidential </w:t>
      </w:r>
    </w:p>
    <w:p w14:paraId="4772E76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pursuant to 40 CFR part 2 may be disclosed publicly by EPA without </w:t>
      </w:r>
    </w:p>
    <w:p w14:paraId="1E238EB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prior notice. Submit the non-CBI copy of your objection or hearing </w:t>
      </w:r>
    </w:p>
    <w:p w14:paraId="5527D75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request, identified by docket ID numbers EPA-HQ-OPP-2016-0352 and EPA-</w:t>
      </w:r>
    </w:p>
    <w:p w14:paraId="747C963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HQ-OPP-2019-0560, by one of the following methods:</w:t>
      </w:r>
    </w:p>
    <w:p w14:paraId="6A9BC0F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Federal eRulemaking Portal: </w:t>
      </w:r>
      <w:hyperlink r:id="rId9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http://www.regulations.gov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</w:p>
    <w:p w14:paraId="7447208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Follow the online instructions for submitting comments. Do not submit </w:t>
      </w:r>
    </w:p>
    <w:p w14:paraId="67B859A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electronically any information you consider to be CBI or other </w:t>
      </w:r>
    </w:p>
    <w:p w14:paraId="2654178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information whose disclosure is restricted by statute.</w:t>
      </w:r>
    </w:p>
    <w:p w14:paraId="0317C1A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Mail: OPP Docket, Environmental Protection Agency Docket </w:t>
      </w:r>
    </w:p>
    <w:p w14:paraId="416C15A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Center (EPA/DC), (28221T), 1200 Pennsylvania Ave. NW, Washington, DC </w:t>
      </w:r>
    </w:p>
    <w:p w14:paraId="6A88860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20460-0001.</w:t>
      </w:r>
    </w:p>
    <w:p w14:paraId="128ADF3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Hand Delivery: To make special arrangements for hand </w:t>
      </w:r>
    </w:p>
    <w:p w14:paraId="74A2E41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delivery or delivery of boxed information, please follow the </w:t>
      </w:r>
    </w:p>
    <w:p w14:paraId="2814A09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instructions at </w:t>
      </w:r>
      <w:hyperlink r:id="rId10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https://www.epa.gov/dockets/where-send-comments-epa-dockets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Additional instructions on commenting or visiting the docket, </w:t>
      </w:r>
    </w:p>
    <w:p w14:paraId="3A61AC1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along with more information about dockets generally, is available at </w:t>
      </w:r>
    </w:p>
    <w:p w14:paraId="5013525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hyperlink r:id="rId11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http://www.epa.gov/dockets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04A634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0CF001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II. Summary of Petitioned-For Tolerance</w:t>
      </w:r>
    </w:p>
    <w:p w14:paraId="7044659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AFB861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In the Federal Register of October 18, 2016 (81 FR 71668) (FRL-</w:t>
      </w:r>
    </w:p>
    <w:p w14:paraId="6E53E79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9952-19), EPA issued a document pursuant to FFDCA section 408(d)(3), 21 </w:t>
      </w:r>
    </w:p>
    <w:p w14:paraId="23E941E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U.S.C. 346a(d)(3), announcing the filing of a pesticide petition (PP </w:t>
      </w:r>
    </w:p>
    <w:p w14:paraId="4692536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6E8482) by IR-4, Rutgers, the State University of New Jersey, 500 </w:t>
      </w:r>
    </w:p>
    <w:p w14:paraId="76963C0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College Road East, Suite 201W, Princeton, NJ 08540. The petition </w:t>
      </w:r>
    </w:p>
    <w:p w14:paraId="7C89DFC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requested that 40 CFR 180.442 be amended by establishing tolerances for </w:t>
      </w:r>
    </w:p>
    <w:p w14:paraId="505B1CF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residues of the insecticide bifenthrin, (2-methyl [1,1'-biphenyl]-3-yl) </w:t>
      </w:r>
    </w:p>
    <w:p w14:paraId="52737F8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methyl-3-(2-chloro-3,3,3,-trifluoro-1-propenyl)-2,2-</w:t>
      </w:r>
    </w:p>
    <w:p w14:paraId="33EF6C2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dimethylcyclopropanecarboxylate, in or on apple, wet pomace at 1.3 </w:t>
      </w:r>
    </w:p>
    <w:p w14:paraId="0314EA6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parts per million (ppm); avocado at 0.50 ppm; berry, low growing, </w:t>
      </w:r>
    </w:p>
    <w:p w14:paraId="54719A9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subgroup 13-07G at 3.0 ppm; Brassica, leafy greens, subgroup 4-16B at </w:t>
      </w:r>
    </w:p>
    <w:p w14:paraId="25450BB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15 ppm; caneberry subgroup 13-07A at 1.0 ppm; fruit, citrus, group 10-</w:t>
      </w:r>
    </w:p>
    <w:p w14:paraId="64DE7EE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10 at 0.05 ppm; fruit, pome, group 11-10, except mayhaw, at 0.70 ppm; </w:t>
      </w:r>
    </w:p>
    <w:p w14:paraId="46B782E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fruit, small, vine climbing, except fuzzy kiwifruit, subgroup 13-07F at </w:t>
      </w:r>
    </w:p>
    <w:p w14:paraId="092635C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0.20 ppm; nut, tree, group 14-12 at 0.05 ppm; peach, subgroup 12-12B at </w:t>
      </w:r>
    </w:p>
    <w:p w14:paraId="19EA0D4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0.70 ppm; pepper/eggplant subgroup 8-10B at 0.50 ppm; pomegranate at </w:t>
      </w:r>
    </w:p>
    <w:p w14:paraId="430C2B8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0.50 ppm; and tomato, subgroup 8-10A at 0.15 ppm. The October 18, 2016, </w:t>
      </w:r>
    </w:p>
    <w:p w14:paraId="44EF49A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Federal Register document and the Notice of Filing in docket number </w:t>
      </w:r>
    </w:p>
    <w:p w14:paraId="2AE9D44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EPA-HQ-OPP-2016-0352 identified the requested tolerance for tomato </w:t>
      </w:r>
    </w:p>
    <w:p w14:paraId="67807EC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subgroup 8-10A as 0.30 ppm. However, IR-4's submitted petition </w:t>
      </w:r>
    </w:p>
    <w:p w14:paraId="478B945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identified a tolerance of 0.15 ppm for tomato subgroup 8-10A. When </w:t>
      </w:r>
    </w:p>
    <w:p w14:paraId="50C6D2D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there is a discrepancy between a tolerance in the submitted Notice of </w:t>
      </w:r>
    </w:p>
    <w:p w14:paraId="7692E73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Filing and the submitted petition, EPA uses the tolerance in the </w:t>
      </w:r>
    </w:p>
    <w:p w14:paraId="7CBCAE1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petition as the petitioned-for tolerance, which is 0.15 ppm for tomato </w:t>
      </w:r>
    </w:p>
    <w:p w14:paraId="6D6EF63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subgroup 8-10A.</w:t>
      </w:r>
    </w:p>
    <w:p w14:paraId="54E8FB7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Additionally, the petition requested, upon approval of the above </w:t>
      </w:r>
    </w:p>
    <w:p w14:paraId="0904E45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tolerances, to remove the existing tolerances in 40 CFR 180.442(a) in </w:t>
      </w:r>
    </w:p>
    <w:p w14:paraId="1BB7E59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or on Brassica, leafy greens, subgroup 5B at 3.5 ppm; caneberry, </w:t>
      </w:r>
    </w:p>
    <w:p w14:paraId="78EEEC5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subgroup 13A at 1.0 ppm; eggplant 0.05 ppm; fruit, citrus, group 10 at </w:t>
      </w:r>
    </w:p>
    <w:p w14:paraId="00ED27A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0.05 ppm; grape at 0.20 ppm; groundcherry at 0.5 ppm; nut, tree, group </w:t>
      </w:r>
    </w:p>
    <w:p w14:paraId="251658E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14 at 0.05 ppm; okra at 0.50 ppm; pear at 0.5 ppm; pepino at 0.5 ppm; </w:t>
      </w:r>
    </w:p>
    <w:p w14:paraId="655C803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pepper, bell at 0.5 ppm; pepper, non-bell at 0.5 ppm; pistachio at 0.05 </w:t>
      </w:r>
    </w:p>
    <w:p w14:paraId="28AF801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ppm; strawberry at 3.0 ppm; tomato at 0.15</w:t>
      </w:r>
    </w:p>
    <w:p w14:paraId="6FD25DE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746A504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[[Page 68152]]</w:t>
      </w:r>
    </w:p>
    <w:p w14:paraId="2D974F8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0D382E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ppm; and turnip, greens at 3.5 ppm. Finally, the petition requested </w:t>
      </w:r>
    </w:p>
    <w:p w14:paraId="6D51B7F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upon approval of the above tolerances, to remove the existing time-</w:t>
      </w:r>
    </w:p>
    <w:p w14:paraId="730BC66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limited tolerances in 40 CFR 180.442(b) in or on, apple at 0.5 ppm; </w:t>
      </w:r>
    </w:p>
    <w:p w14:paraId="25C7AD3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nectarine at 0.5 ppm; and peach at 0.5 ppm. That document referenced a </w:t>
      </w:r>
    </w:p>
    <w:p w14:paraId="784C252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summary of the petition prepared by FMC Corporation and Makhteshim Agan </w:t>
      </w:r>
    </w:p>
    <w:p w14:paraId="1C3A997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of North America, Inc. (ADAMA), the registrants, which is available in </w:t>
      </w:r>
    </w:p>
    <w:p w14:paraId="0F1E68F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docket, </w:t>
      </w:r>
      <w:hyperlink r:id="rId12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http://www.regulations.gov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There were no comments received </w:t>
      </w:r>
    </w:p>
    <w:p w14:paraId="1CAC789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in response to the notice of filing.</w:t>
      </w:r>
    </w:p>
    <w:p w14:paraId="1F9ACB3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In the Federal Register of February 11, 2020 (85 FR 7708) (FRL-</w:t>
      </w:r>
    </w:p>
    <w:p w14:paraId="1072C3B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10005-02), EPA issued a document pursuant to FFDCA section 408(d)(3), </w:t>
      </w:r>
    </w:p>
    <w:p w14:paraId="1DCB08F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21 U.S.C. 346a(d)(3), announcing the filing of a pesticide petition (PP </w:t>
      </w:r>
    </w:p>
    <w:p w14:paraId="1122C7A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8F8704) by FMC Corporation, 2929 Walnut Street, Philadelphia, PA 19104. </w:t>
      </w:r>
    </w:p>
    <w:p w14:paraId="7E5199F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petition requested that 40 CFR 180.442 be amended by establishing </w:t>
      </w:r>
    </w:p>
    <w:p w14:paraId="1B8DA70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tolerances for residues of the bifenthrin, (2-methyl [1,1'-biphenyl]-3-</w:t>
      </w:r>
    </w:p>
    <w:p w14:paraId="244E684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yl) methyl-3-(2-chloro-3,3,3,-trifluoro-1-propenyl)-2,2 </w:t>
      </w:r>
    </w:p>
    <w:p w14:paraId="6F033B5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dimethylcyclopropanecarboxylate, in or on sunflower (crop subgroup 20B) </w:t>
      </w:r>
    </w:p>
    <w:p w14:paraId="6A095B3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at 0.01 ppm. That document referenced a summary of the petition </w:t>
      </w:r>
    </w:p>
    <w:p w14:paraId="03FE282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prepared by FMC Corporation, the registrant, which is available in the </w:t>
      </w:r>
    </w:p>
    <w:p w14:paraId="48561BD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docket, </w:t>
      </w:r>
      <w:hyperlink r:id="rId13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http://www.regulations.gov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There were no comments received in </w:t>
      </w:r>
    </w:p>
    <w:p w14:paraId="2A777E4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response to the notice of filing.</w:t>
      </w:r>
    </w:p>
    <w:p w14:paraId="4534E60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Based upon review of the data supporting the petitions, EPA is </w:t>
      </w:r>
    </w:p>
    <w:p w14:paraId="1968774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establishing some tolerances that vary from what was requested. The </w:t>
      </w:r>
    </w:p>
    <w:p w14:paraId="57B49A2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reasons for these changes are explained in Unit IV.C.</w:t>
      </w:r>
    </w:p>
    <w:p w14:paraId="468A052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37F4C49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III. Aggregate Risk Assessment and Determination of Safety</w:t>
      </w:r>
    </w:p>
    <w:p w14:paraId="4425E43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7CB1D1C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Section 408(b)(2)(A)(i) of FFDCA allows EPA to establish a </w:t>
      </w:r>
    </w:p>
    <w:p w14:paraId="4CC97C0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tolerance (the legal limit for a pesticide chemical residue in or on a </w:t>
      </w:r>
    </w:p>
    <w:p w14:paraId="68A9314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food) only if EPA determines that the tolerance is ``safe.'' Section </w:t>
      </w:r>
    </w:p>
    <w:p w14:paraId="3DD444D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408(b)(2)(A)(ii) of FFDCA defines ``safe'' to mean that ``there is a </w:t>
      </w:r>
    </w:p>
    <w:p w14:paraId="1362A47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reasonable certainty that no harm will result from aggregate exposure </w:t>
      </w:r>
    </w:p>
    <w:p w14:paraId="4A4CE67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 the pesticide chemical residue, including all anticipated dietary </w:t>
      </w:r>
    </w:p>
    <w:p w14:paraId="0333212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exposures and all other exposures for which there is reliable </w:t>
      </w:r>
    </w:p>
    <w:p w14:paraId="5B8BA38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information.'' This includes exposure through drinking water and in </w:t>
      </w:r>
    </w:p>
    <w:p w14:paraId="170DE53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residential settings but does not include occupational exposure. </w:t>
      </w:r>
    </w:p>
    <w:p w14:paraId="0B1E3D2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Section 408(b)(2)(C) of FFDCA requires EPA to give special </w:t>
      </w:r>
    </w:p>
    <w:p w14:paraId="221DBFE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consideration to exposure of infants and children to the pesticide </w:t>
      </w:r>
    </w:p>
    <w:p w14:paraId="6A58424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chemical residue in establishing a tolerance and to ``ensure that there </w:t>
      </w:r>
    </w:p>
    <w:p w14:paraId="56F4A36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is a reasonable certainty that no harm will result to infants and </w:t>
      </w:r>
    </w:p>
    <w:p w14:paraId="022E2E1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children from aggregate exposure to the pesticide chemical residue. . . </w:t>
      </w:r>
    </w:p>
    <w:p w14:paraId="40AB099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.''</w:t>
      </w:r>
    </w:p>
    <w:p w14:paraId="7C9C9D0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Consistent with FFDCA section 408(b)(2)(D), and the factors </w:t>
      </w:r>
    </w:p>
    <w:p w14:paraId="1F413A5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specified in FFDCA section 408(b)(2)(D), EPA has reviewed the available </w:t>
      </w:r>
    </w:p>
    <w:p w14:paraId="2466D30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scientific data and other relevant information in support of this </w:t>
      </w:r>
    </w:p>
    <w:p w14:paraId="17BA5D5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action. EPA has sufficient data to assess the hazards of and to make a </w:t>
      </w:r>
    </w:p>
    <w:p w14:paraId="639C2D2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determination on aggregate exposure for bifenthrin including exposure </w:t>
      </w:r>
    </w:p>
    <w:p w14:paraId="797DC4E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resulting from the tolerances established by this action. EPA's </w:t>
      </w:r>
    </w:p>
    <w:p w14:paraId="68F7BC8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assessment of exposures and risks associated with bifenthrin follows.</w:t>
      </w:r>
    </w:p>
    <w:p w14:paraId="0308E64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776299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A. Toxicological Profile</w:t>
      </w:r>
    </w:p>
    <w:p w14:paraId="5B25BDB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1EB6FE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EPA has evaluated the available toxicity data and considered its </w:t>
      </w:r>
    </w:p>
    <w:p w14:paraId="5031EE4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validity, completeness, and reliability as well as the relationship of </w:t>
      </w:r>
    </w:p>
    <w:p w14:paraId="268FEEF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results of the studies to human risk. EPA has also considered </w:t>
      </w:r>
    </w:p>
    <w:p w14:paraId="7ACE6DC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available information concerning the variability of the sensitivities </w:t>
      </w:r>
    </w:p>
    <w:p w14:paraId="5C55C65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of major identifiable subgroups of consumers, including infants and </w:t>
      </w:r>
    </w:p>
    <w:p w14:paraId="61A755E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children.</w:t>
      </w:r>
    </w:p>
    <w:p w14:paraId="6B97EF6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 predominant effects seen in most of the bifenthrin experimental </w:t>
      </w:r>
    </w:p>
    <w:p w14:paraId="3EC9781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toxicology studies were behavioral changes characteristic of Type I </w:t>
      </w:r>
    </w:p>
    <w:p w14:paraId="5210496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pyrethroids, such as muscle tremors, which are consistent with its </w:t>
      </w:r>
    </w:p>
    <w:p w14:paraId="55DC6F0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mode-of-action (MOA) to activate sodium channels. Additional effects </w:t>
      </w:r>
    </w:p>
    <w:p w14:paraId="049C100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seen in one or more studies included: muscle twitching, decreased grip </w:t>
      </w:r>
    </w:p>
    <w:p w14:paraId="721F7DA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strength, altered landing foot splay, depressed respiration, increased </w:t>
      </w:r>
    </w:p>
    <w:p w14:paraId="3D24A12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grooming counts, loss of muscle coordination, staggered gait, </w:t>
      </w:r>
    </w:p>
    <w:p w14:paraId="4147FAA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exaggerated hind limb flexion, and convulsions at high doses. Decreased </w:t>
      </w:r>
    </w:p>
    <w:p w14:paraId="016811E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body weight and food consumption were also noted in repeat-dosing </w:t>
      </w:r>
    </w:p>
    <w:p w14:paraId="1083324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dietary studies.</w:t>
      </w:r>
    </w:p>
    <w:p w14:paraId="142C3DC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In developmental toxicity studies involving rats and rabbits, </w:t>
      </w:r>
    </w:p>
    <w:p w14:paraId="004A25C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maternal toxicity was observed (neurological effects) while no </w:t>
      </w:r>
    </w:p>
    <w:p w14:paraId="379789B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developmental effects of biological significance were observed. In the </w:t>
      </w:r>
    </w:p>
    <w:p w14:paraId="4B8AE17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2-generation reproduction dietary study in the rat, tremors were noted </w:t>
      </w:r>
    </w:p>
    <w:p w14:paraId="29F8C10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only in females of both generations, with one parental generation rat </w:t>
      </w:r>
    </w:p>
    <w:p w14:paraId="47126D8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observed to have clonic convulsions, and no observed effects in the </w:t>
      </w:r>
    </w:p>
    <w:p w14:paraId="2901C10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offspring. A developmental neurotoxicity study was also conducted. </w:t>
      </w:r>
    </w:p>
    <w:p w14:paraId="4356ADE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Clinical signs of neurotoxicity were observed in both the adults and </w:t>
      </w:r>
    </w:p>
    <w:p w14:paraId="6F59CBD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offspring at the same dose levels; therefore, there is no indication of </w:t>
      </w:r>
    </w:p>
    <w:p w14:paraId="62ED999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increased qualitative or quantitative susceptibility in the young.</w:t>
      </w:r>
    </w:p>
    <w:p w14:paraId="5029652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Bifenthrin is classified as a Group C--``possible human </w:t>
      </w:r>
    </w:p>
    <w:p w14:paraId="5F1A97A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carcinogen,'' based on an increased incidence of urinary bladder tumors </w:t>
      </w:r>
    </w:p>
    <w:p w14:paraId="1A39DA7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 mice. However, EPA has determined that quantification of risk using </w:t>
      </w:r>
    </w:p>
    <w:p w14:paraId="387F8C9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 non-linear approach (i.e., reference dose (RfD)) will adequately </w:t>
      </w:r>
    </w:p>
    <w:p w14:paraId="1040F93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account for all chronic toxicity, including potential carcinogenicity, </w:t>
      </w:r>
    </w:p>
    <w:p w14:paraId="27A45DB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that could result from exposure to bifenthrin for the following </w:t>
      </w:r>
    </w:p>
    <w:p w14:paraId="67ACD11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reasons. First, the bladder tumors may not be uncommon in mice and are </w:t>
      </w:r>
    </w:p>
    <w:p w14:paraId="6BDE000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not likely to be malignant. Second, these tumors were observed only in </w:t>
      </w:r>
    </w:p>
    <w:p w14:paraId="3EB3C78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male mice at the highest dose. Third, no evidence of carcinogenicity </w:t>
      </w:r>
    </w:p>
    <w:p w14:paraId="11F9C4A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was observed in bifenthrin carcinogenicity studies in rats. Finally, </w:t>
      </w:r>
    </w:p>
    <w:p w14:paraId="35F93EB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there is a low concern for mutagenicity based on the overall results of </w:t>
      </w:r>
    </w:p>
    <w:p w14:paraId="35E8A1D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the available mutagenicity tests of bifenthrin.</w:t>
      </w:r>
    </w:p>
    <w:p w14:paraId="389686E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A complete discussion of the toxicological profile for bifenthrin </w:t>
      </w:r>
    </w:p>
    <w:p w14:paraId="01C15FA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the Agency's cancer conclusion as well as specific information on </w:t>
      </w:r>
    </w:p>
    <w:p w14:paraId="727F2B1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studies received and the nature of the adverse effects caused by </w:t>
      </w:r>
    </w:p>
    <w:p w14:paraId="13A4C54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bifenthrin as well as the no-observed-adverse-effect-level (NOAEL) and </w:t>
      </w:r>
    </w:p>
    <w:p w14:paraId="3331474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lowest-observed-adverse-effect-level (LOAEL) from the toxicity </w:t>
      </w:r>
    </w:p>
    <w:p w14:paraId="04884CC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studies can be found in the documents titled ``Bifenthrin: Revised </w:t>
      </w:r>
    </w:p>
    <w:p w14:paraId="7BF5596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Human Health Risk Assessment for the Requested Section 3 Registration </w:t>
      </w:r>
    </w:p>
    <w:p w14:paraId="0E73EE0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of Bifenthrin on Pome Fruit Group 11-10 (except Mayhaw), Peach Subgroup </w:t>
      </w:r>
    </w:p>
    <w:p w14:paraId="108071E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12-12B, Avocado, Pomegranate, Brassica Leafy Greens Subgroup 4-16B; and </w:t>
      </w:r>
    </w:p>
    <w:p w14:paraId="2A9F0E4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Crop Group Conversions/Expansions for Tomato Subgroup 8-10A, Pepper/</w:t>
      </w:r>
    </w:p>
    <w:p w14:paraId="32F28AD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Eggplant Subgroup 8-10B, Small Vine Climbing Fruit Subgroup 13-07F, Low </w:t>
      </w:r>
    </w:p>
    <w:p w14:paraId="1DC5089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Growing Berry Subgroup 13-07G, Citrus Fruit Group 10 to Citrus Fruit </w:t>
      </w:r>
    </w:p>
    <w:p w14:paraId="2AE6477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Group 10-10, Caneberry Subgroup 13A to Caneberry Subgroup 13-07A, and </w:t>
      </w:r>
    </w:p>
    <w:p w14:paraId="5F50813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Tree Nut Group 14 to Tree Nut Group 14-12'' (hereinafter ``Bifenthrin </w:t>
      </w:r>
    </w:p>
    <w:p w14:paraId="2E78E9E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Multiple Crop Human Health Risk Assessment'') and ``Bifenthrin. Human </w:t>
      </w:r>
    </w:p>
    <w:p w14:paraId="6FB2FA9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Health Risk Assessment for the Proposed New Use on Sunflower Crop </w:t>
      </w:r>
    </w:p>
    <w:p w14:paraId="4045713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Subgroup 20B'' in docket ID number EPA-HQ-OPP-2016-0352 in </w:t>
      </w:r>
    </w:p>
    <w:p w14:paraId="4315218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hyperlink r:id="rId14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regulations.gov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CB3E3A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3C314C9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B. Toxicological Points of Departure/Levels of Concern</w:t>
      </w:r>
    </w:p>
    <w:p w14:paraId="4A533AC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7602D7E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Once a pesticide's toxicological profile is determined, EPA </w:t>
      </w:r>
    </w:p>
    <w:p w14:paraId="6621C38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identifies toxicological points of departure (POD) and levels of </w:t>
      </w:r>
    </w:p>
    <w:p w14:paraId="38573A1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concern to use in evaluating the risk posed by human exposure to the </w:t>
      </w:r>
    </w:p>
    <w:p w14:paraId="055D07C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pesticide. For hazards that have a threshold below which there is no </w:t>
      </w:r>
    </w:p>
    <w:p w14:paraId="5CFF712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appreciable risk, the toxicological POD is used as the basis for </w:t>
      </w:r>
    </w:p>
    <w:p w14:paraId="4EA57AB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derivation of reference values for risk assessment. PODs are developed </w:t>
      </w:r>
    </w:p>
    <w:p w14:paraId="3D611D7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based on a careful analysis of the doses in each toxicological study to </w:t>
      </w:r>
    </w:p>
    <w:p w14:paraId="51B3278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determine the dose at which no adverse effects are observed (the NOAEL) </w:t>
      </w:r>
    </w:p>
    <w:p w14:paraId="6101529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the lowest dose at which adverse effects of concern are identified </w:t>
      </w:r>
    </w:p>
    <w:p w14:paraId="0AC978A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(the LOAEL). Uncertainty/</w:t>
      </w:r>
    </w:p>
    <w:p w14:paraId="6E26F27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731925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[[Page 68153]]</w:t>
      </w:r>
    </w:p>
    <w:p w14:paraId="73C88B1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F8CEFF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safety factors are used in conjunction with the POD to calculate a safe </w:t>
      </w:r>
    </w:p>
    <w:p w14:paraId="0CDF6F7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 level--generally referred to as a population-adjusted dose </w:t>
      </w:r>
    </w:p>
    <w:p w14:paraId="72C4D94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(PAD) or a reference dose (RfD)--and a safe margin of exposure (MOE). </w:t>
      </w:r>
    </w:p>
    <w:p w14:paraId="04CFCAC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For non-threshold risks, the Agency assumes that any amount of exposure </w:t>
      </w:r>
    </w:p>
    <w:p w14:paraId="32A36D2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will lead to some degree of risk. Thus, the Agency estimates risk in </w:t>
      </w:r>
    </w:p>
    <w:p w14:paraId="429EDC0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terms of the probability of an occurrence of the adverse effect </w:t>
      </w:r>
    </w:p>
    <w:p w14:paraId="636C3CE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expected in a lifetime. For more information on the general principles </w:t>
      </w:r>
    </w:p>
    <w:p w14:paraId="4A6A535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EPA uses in risk characterization and a complete description of the </w:t>
      </w:r>
    </w:p>
    <w:p w14:paraId="6C0D465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risk assessment process, see </w:t>
      </w:r>
      <w:hyperlink r:id="rId15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http://www2.epa.gov/pesticide-science-and-assessing-pesticide-risks/assessing-human-health-risk-pesticides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45067D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A summary of the toxicological endpoints for bifenthrin used for </w:t>
      </w:r>
    </w:p>
    <w:p w14:paraId="2BACCD9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human risk assessment can be found in the Bifenthrin Multiple Crop </w:t>
      </w:r>
    </w:p>
    <w:p w14:paraId="1F57166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Human Health Risk Assessment.</w:t>
      </w:r>
    </w:p>
    <w:p w14:paraId="6B04633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25FD68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C. Exposure Assessment</w:t>
      </w:r>
    </w:p>
    <w:p w14:paraId="51B4E74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41A906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1. Dietary exposure from food and feed uses. In evaluating dietary </w:t>
      </w:r>
    </w:p>
    <w:p w14:paraId="2A21821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exposure to bifenthrin, EPA considered exposure under the petitioned-</w:t>
      </w:r>
    </w:p>
    <w:p w14:paraId="6287EC8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for tolerances as well as all existing bifenthrin tolerances in 40 CFR </w:t>
      </w:r>
    </w:p>
    <w:p w14:paraId="1389671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180.442. EPA assessed dietary exposures from bifenthrin in food as </w:t>
      </w:r>
    </w:p>
    <w:p w14:paraId="1944766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follows:</w:t>
      </w:r>
    </w:p>
    <w:p w14:paraId="727E5AB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i. Acute exposure. Quantitative acute dietary exposure and risk </w:t>
      </w:r>
    </w:p>
    <w:p w14:paraId="746A81B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assessments are performed for a food-use pesticide, if a toxicological </w:t>
      </w:r>
    </w:p>
    <w:p w14:paraId="34FEE02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study has indicated the possibility of an effect of concern occurring </w:t>
      </w:r>
    </w:p>
    <w:p w14:paraId="30EB466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as a result of a 1-day or single exposure.</w:t>
      </w:r>
    </w:p>
    <w:p w14:paraId="4CF9141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Such effects were identified for bifenthrin. In estimating acute </w:t>
      </w:r>
    </w:p>
    <w:p w14:paraId="0A84B06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dietary exposure, EPA used 2003-2008 food consumption data from the </w:t>
      </w:r>
    </w:p>
    <w:p w14:paraId="1F70A83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United States Department of Agriculture's (USDA's) National Health and </w:t>
      </w:r>
    </w:p>
    <w:p w14:paraId="3FF28B1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Nutrition Examination Survey, What We Eat in America (NHANES/WWEIA). As </w:t>
      </w:r>
    </w:p>
    <w:p w14:paraId="56CFD3C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 residue levels in food, the acute assessment was refined using </w:t>
      </w:r>
    </w:p>
    <w:p w14:paraId="7DFBE62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distributions and point estimates derived from pesticide data program </w:t>
      </w:r>
    </w:p>
    <w:p w14:paraId="43BA8D1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(PDP) monitoring data, field trial data, percent crop treated (PCT) </w:t>
      </w:r>
    </w:p>
    <w:p w14:paraId="66C27F8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data, and empirical processing factors.</w:t>
      </w:r>
    </w:p>
    <w:p w14:paraId="4EA3E47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ii. Chronic exposure. A chronic dietary endpoint has not been </w:t>
      </w:r>
    </w:p>
    <w:p w14:paraId="007FA0F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selected for bifenthrin because repeated exposure does not result in a </w:t>
      </w:r>
    </w:p>
    <w:p w14:paraId="3B4DE18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POD lower than that resulting from acute exposure; therefore, the acute </w:t>
      </w:r>
    </w:p>
    <w:p w14:paraId="35D165F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dietary risk assessment is protective of chronic dietary risk. However, </w:t>
      </w:r>
    </w:p>
    <w:p w14:paraId="3D42627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since there are residential uses of bifenthrin, a refined chronic </w:t>
      </w:r>
    </w:p>
    <w:p w14:paraId="36C85AF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dietary exposure assessment was conducted to calculate average (food </w:t>
      </w:r>
    </w:p>
    <w:p w14:paraId="3F570A4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drinking water) exposure estimates representing background dietary </w:t>
      </w:r>
    </w:p>
    <w:p w14:paraId="093311E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 to support the bifenthrin aggregate risk assessment. The </w:t>
      </w:r>
    </w:p>
    <w:p w14:paraId="0741996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assessment was refined using point estimates derived from PDP </w:t>
      </w:r>
    </w:p>
    <w:p w14:paraId="7AA7459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monitoring data, field trial data, PCT data, and empirical processing </w:t>
      </w:r>
    </w:p>
    <w:p w14:paraId="7E25494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factors.</w:t>
      </w:r>
    </w:p>
    <w:p w14:paraId="777A2FF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iii. Cancer. As discussed in Unit III.A., EPA has determined that </w:t>
      </w:r>
    </w:p>
    <w:p w14:paraId="25900A7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acute reference dose (RfD) will adequately account for all repeated </w:t>
      </w:r>
    </w:p>
    <w:p w14:paraId="21EDBC4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exposure/chronic toxicity, including potential carcinogenicity, which </w:t>
      </w:r>
    </w:p>
    <w:p w14:paraId="385C320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could result from exposure to bifenthrin. A separate cancer exposure </w:t>
      </w:r>
    </w:p>
    <w:p w14:paraId="43F9032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assessment was not conducted.</w:t>
      </w:r>
    </w:p>
    <w:p w14:paraId="42FAAE4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iv. Anticipated residue and percent crop treated (PCT) information. </w:t>
      </w:r>
    </w:p>
    <w:p w14:paraId="25FBF19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Section 408(b)(2)(E) of FFDCA authorizes EPA to use available data and </w:t>
      </w:r>
    </w:p>
    <w:p w14:paraId="4D6F2E7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information on the anticipated residue levels of pesticide residues in </w:t>
      </w:r>
    </w:p>
    <w:p w14:paraId="3D56E04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food and the actual levels of pesticide residues that have been </w:t>
      </w:r>
    </w:p>
    <w:p w14:paraId="48E5E09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measured in food. If EPA relies on such information, EPA must require </w:t>
      </w:r>
    </w:p>
    <w:p w14:paraId="35E6364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pursuant to FFDCA section 408(f)(1) that data be provided 5 years after </w:t>
      </w:r>
    </w:p>
    <w:p w14:paraId="5BBC524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the tolerance is established, modified, or left in effect, </w:t>
      </w:r>
    </w:p>
    <w:p w14:paraId="62AE230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demonstrating that the levels in food are not above the levels </w:t>
      </w:r>
    </w:p>
    <w:p w14:paraId="4D8268D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anticipated. For the present action, EPA will issue such data call-ins </w:t>
      </w:r>
    </w:p>
    <w:p w14:paraId="1EFD84E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as are required by FFDCA section 408(b)(2)(E) and authorized under </w:t>
      </w:r>
    </w:p>
    <w:p w14:paraId="7EE1837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FFDCA section 408(f)(1). Data will be required to be submitted no later </w:t>
      </w:r>
    </w:p>
    <w:p w14:paraId="2C7D406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than 5 years from the date of issuance of these tolerances.</w:t>
      </w:r>
    </w:p>
    <w:p w14:paraId="5C1B7C1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Section 408(b)(2)(F) of FFDCA states that the Agency may use data </w:t>
      </w:r>
    </w:p>
    <w:p w14:paraId="25754B3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on the actual percent of food treated for assessing chronic dietary </w:t>
      </w:r>
    </w:p>
    <w:p w14:paraId="1FD2446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risk only if:</w:t>
      </w:r>
    </w:p>
    <w:p w14:paraId="6098218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Condition a: The data used are reliable and provide a </w:t>
      </w:r>
    </w:p>
    <w:p w14:paraId="474C062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valid basis to show what percentage of the food derived from such crop </w:t>
      </w:r>
    </w:p>
    <w:p w14:paraId="4A94B72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is likely to contain the pesticide residue.</w:t>
      </w:r>
    </w:p>
    <w:p w14:paraId="4643E4E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Condition b: The exposure estimate does not underestimate </w:t>
      </w:r>
    </w:p>
    <w:p w14:paraId="35B07A0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exposure for any significant subpopulation group.</w:t>
      </w:r>
    </w:p>
    <w:p w14:paraId="4E466D2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Condition c: Data are available on pesticide use and food </w:t>
      </w:r>
    </w:p>
    <w:p w14:paraId="7ED57E3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consumption in a particular area, and the exposure estimate does not </w:t>
      </w:r>
    </w:p>
    <w:p w14:paraId="5F585ED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understate exposure for the population in such area.</w:t>
      </w:r>
    </w:p>
    <w:p w14:paraId="5C3B745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In addition, the Agency must provide for periodic evaluation of any </w:t>
      </w:r>
    </w:p>
    <w:p w14:paraId="6FEAE85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estimates used. To provide for the periodic evaluation of the estimate </w:t>
      </w:r>
    </w:p>
    <w:p w14:paraId="21E087C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of PCT as required by FFDCA section 408(b)(2)(F), EPA may require </w:t>
      </w:r>
    </w:p>
    <w:p w14:paraId="3DC4E6D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registrants to submit data on PCT.</w:t>
      </w:r>
    </w:p>
    <w:p w14:paraId="45D84C8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 acute dietary assessment used the following maximum PCT </w:t>
      </w:r>
    </w:p>
    <w:p w14:paraId="15FD888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estimates: Almonds: 40%, artichoke: 65%, green beans (fresh &amp; </w:t>
      </w:r>
    </w:p>
    <w:p w14:paraId="3A6B6B9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succulent): 60%, blueberries (all bushberries): 35%, broccoli: 25%, </w:t>
      </w:r>
    </w:p>
    <w:p w14:paraId="460AB9A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Brussel sprouts: 5%, cabbage: 50%, caneberries: 55%, canola: 25%, </w:t>
      </w:r>
    </w:p>
    <w:p w14:paraId="2480E79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cantaloupes: 55%, carrots: 5%, cauliflower: 2.5%, celery: 45%, citrus </w:t>
      </w:r>
    </w:p>
    <w:p w14:paraId="0040DD2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(all others): 2.5%, corn: 10%, cotton: 20%, cucumbers: 35%, dry beans/</w:t>
      </w:r>
    </w:p>
    <w:p w14:paraId="5371DAF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peas: 5%, eggplant: 45%, grapefruit: 2.5%, grapes, juice: 10%, grapes, </w:t>
      </w:r>
    </w:p>
    <w:p w14:paraId="51EA2AD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table: 2.5%, grapes, wine: 5%, hazelnuts: 5%, honeydews: 90%, kumquat: </w:t>
      </w:r>
    </w:p>
    <w:p w14:paraId="1F7A850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2.5%, lemons: 2.5%, lettuce; 15%, lima beans: 40%, lime: 2.5%, okra: </w:t>
      </w:r>
    </w:p>
    <w:p w14:paraId="3A4E07E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45%, onions: 5%, oranges, 10%, peanuts: 20%, pears: 2.5%, green peas </w:t>
      </w:r>
    </w:p>
    <w:p w14:paraId="5E910E4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(fresh &amp; succulent): 50%, pecans: 20%, peppers (all); 30%, pistachios: </w:t>
      </w:r>
    </w:p>
    <w:p w14:paraId="7DDD242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55%, potatoes: 15%, pummelo: 2.5%, pumpkins: 25%, soybeans: 10%, </w:t>
      </w:r>
    </w:p>
    <w:p w14:paraId="27C03FF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spinach: 15%, squash: 25%, strawberries: 70%, sweet corn: 50%, </w:t>
      </w:r>
    </w:p>
    <w:p w14:paraId="156293E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tangerines: 2.5%, tomatoes: 45%, walnuts: 25%, and watermelons: 20%. </w:t>
      </w:r>
    </w:p>
    <w:p w14:paraId="01D13FC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acute dietary assessment also used the following maximum PCT </w:t>
      </w:r>
    </w:p>
    <w:p w14:paraId="538902A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estimates for some of the new uses: apples: 55%, avocados: 50%, </w:t>
      </w:r>
    </w:p>
    <w:p w14:paraId="4A38559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nectarines: 65%, peaches: 35%, and pomegranates: 60%.</w:t>
      </w:r>
    </w:p>
    <w:p w14:paraId="6E38F2F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 following average PCT estimates for bifenthrin were used to </w:t>
      </w:r>
    </w:p>
    <w:p w14:paraId="19CE283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refine the chronic dietary risk assessment for the following crops: </w:t>
      </w:r>
    </w:p>
    <w:p w14:paraId="14EA16F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Almonds: 25%, artichoke: 30%, green beans (fresh &amp; succulent): 55%, </w:t>
      </w:r>
    </w:p>
    <w:p w14:paraId="737F7F5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blueberries (all bushberries): 10%, broccoli: 15%, Brussel sprouts: 1%, </w:t>
      </w:r>
    </w:p>
    <w:p w14:paraId="7D44C0E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cabbage: 30%, caneberries: 45%, canola: 10%, cantaloupes: 50%, carrots: </w:t>
      </w:r>
    </w:p>
    <w:p w14:paraId="51A98D2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2.5%, cauliflower: 1%, celery: 10%, citrus (all others): 1%, corn: 5%, </w:t>
      </w:r>
    </w:p>
    <w:p w14:paraId="7099CBC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cotton: 15%, cucumbers: 20%, dry beans/peas: 2.5%, eggplant: 25%, </w:t>
      </w:r>
    </w:p>
    <w:p w14:paraId="572BF96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grapefruit: 1%, grapes, juice: 2.5%, grapes, table: 1%, grapes, wine: </w:t>
      </w:r>
    </w:p>
    <w:p w14:paraId="4D0C739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2.5%, hazelnuts: 1%, honeydews: 25%, kumquat: 1%, lemons: 1%, lettuce; </w:t>
      </w:r>
    </w:p>
    <w:p w14:paraId="71BB02A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10%, lima beans: 20%, lime: 1%, okra: 25%, onions: 2.5%, oranges, 1%, </w:t>
      </w:r>
    </w:p>
    <w:p w14:paraId="2E62A81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peanuts: 10%, pears: 1%, green peas (fresh &amp; succulent): 30%, pecans: </w:t>
      </w:r>
    </w:p>
    <w:p w14:paraId="19D7ADA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10%, peppers (all); 20%, pistachios: 35%, potatoes: 10%, pummelo: 1%, </w:t>
      </w:r>
    </w:p>
    <w:p w14:paraId="022DF96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pumpkins: 15%, soybeans: 5%, spinach: 2.5%, squash: 20%, strawberries: </w:t>
      </w:r>
    </w:p>
    <w:p w14:paraId="38C6739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55%, sweet corn: 40%, tangerines: 1%, tomatoes: 25%, walnuts: 15%, and </w:t>
      </w:r>
    </w:p>
    <w:p w14:paraId="304D02A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watermelons: 15%. The chronic dietary assessment also used the </w:t>
      </w:r>
    </w:p>
    <w:p w14:paraId="156CBF1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following maximum PCT estimates for some of the new uses: apples: 50%, </w:t>
      </w:r>
    </w:p>
    <w:p w14:paraId="07EC25E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avocados: 50%, nectarines: 65%, peaches: 35%, and pomegranates: 60%.</w:t>
      </w:r>
    </w:p>
    <w:p w14:paraId="097615F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A default of 100% CT was used for all livestock and game </w:t>
      </w:r>
    </w:p>
    <w:p w14:paraId="123637F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commodities, freshwater finfish, and all other registered uses where no </w:t>
      </w:r>
    </w:p>
    <w:p w14:paraId="450CF8C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maximum/average PCT estimates were available. All other commodities </w:t>
      </w:r>
    </w:p>
    <w:p w14:paraId="1DB00D0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included for depicting food handling establishment (FHE) uses were </w:t>
      </w:r>
    </w:p>
    <w:p w14:paraId="05EFDA1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refined with the upper bound estimate of 4.65% for non-fumigant </w:t>
      </w:r>
    </w:p>
    <w:p w14:paraId="5D8EB8C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treatments made in FHEs.</w:t>
      </w:r>
    </w:p>
    <w:p w14:paraId="4753F0B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In most cases, EPA uses available data from United States </w:t>
      </w:r>
    </w:p>
    <w:p w14:paraId="7A4602A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Department of Agriculture/National Agricultural Statistics Service </w:t>
      </w:r>
    </w:p>
    <w:p w14:paraId="6ADFC12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(USDA/NASS),</w:t>
      </w:r>
    </w:p>
    <w:p w14:paraId="2501563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3F55A1F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[[Page 68154]]</w:t>
      </w:r>
    </w:p>
    <w:p w14:paraId="5332A79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95339A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proprietary market surveys, and California Department of Pesticide </w:t>
      </w:r>
    </w:p>
    <w:p w14:paraId="68D846B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Regulation (CalDPR) Pesticide Use Reporting (PUR) for the chemical/crop </w:t>
      </w:r>
    </w:p>
    <w:p w14:paraId="4C1D9C0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combination for the most recent 10 years. EPA uses an average PCT for </w:t>
      </w:r>
    </w:p>
    <w:p w14:paraId="26F8295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chronic dietary risk analysis and a maximum PCT for acute dietary risk </w:t>
      </w:r>
    </w:p>
    <w:p w14:paraId="1957A6A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analysis. The average PCT figure for each existing use is derived by </w:t>
      </w:r>
    </w:p>
    <w:p w14:paraId="52A24F8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combining available public and private market survey data for that use, </w:t>
      </w:r>
    </w:p>
    <w:p w14:paraId="37D0F01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averaging across all observations, and rounding to the nearest 5%, </w:t>
      </w:r>
    </w:p>
    <w:p w14:paraId="65976F3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except for those situations in which the average PCT is less than 1% or </w:t>
      </w:r>
    </w:p>
    <w:p w14:paraId="7D93123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less than 2.5%. In those cases, the Agency would use less than 1% or </w:t>
      </w:r>
    </w:p>
    <w:p w14:paraId="0E2E6B0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less than 2.5% as the average PCT value, respectively. The maximum PCT </w:t>
      </w:r>
    </w:p>
    <w:p w14:paraId="25CD858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figure is the highest observed maximum value reported within the most </w:t>
      </w:r>
    </w:p>
    <w:p w14:paraId="588746A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recent 10 years of available public and private market survey data for </w:t>
      </w:r>
    </w:p>
    <w:p w14:paraId="58AF707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existing use and rounded up to the nearest multiple of 5%, except </w:t>
      </w:r>
    </w:p>
    <w:p w14:paraId="5D7AEE6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where the maximum PCT is less than 2.5%, in which case, the Agency uses </w:t>
      </w:r>
    </w:p>
    <w:p w14:paraId="5018EFC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less than 2.5% as the maximum PCT.</w:t>
      </w:r>
    </w:p>
    <w:p w14:paraId="67B4C4D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 Agency believes that the three conditions discussed in Unit </w:t>
      </w:r>
    </w:p>
    <w:p w14:paraId="1CF07AD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III.C.1.iv. have been met. With respect to Condition a, PCT estimates </w:t>
      </w:r>
    </w:p>
    <w:p w14:paraId="50A58B4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are derived from Federal and private market survey data, which are </w:t>
      </w:r>
    </w:p>
    <w:p w14:paraId="79DD28B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reliable and have a valid basis. The Agency is reasonably certain that </w:t>
      </w:r>
    </w:p>
    <w:p w14:paraId="346ED87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percentage of the food treated is not likely to be an </w:t>
      </w:r>
    </w:p>
    <w:p w14:paraId="1B73B9E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underestimation. As to Conditions b and c, regional consumption </w:t>
      </w:r>
    </w:p>
    <w:p w14:paraId="41B0B1B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information and consumption information for significant subpopulations </w:t>
      </w:r>
    </w:p>
    <w:p w14:paraId="329F3DB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are taken into account through EPA's computer-based model for </w:t>
      </w:r>
    </w:p>
    <w:p w14:paraId="220F1C6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evaluating the exposure of significant subpopulations including several </w:t>
      </w:r>
    </w:p>
    <w:p w14:paraId="38C05DA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regional groups. Use of consumption information in EPA's risk </w:t>
      </w:r>
    </w:p>
    <w:p w14:paraId="46D4994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assessment process ensures that EPA's exposure estimate does not </w:t>
      </w:r>
    </w:p>
    <w:p w14:paraId="6509A7B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understate exposure for any significant subpopulation group and allows </w:t>
      </w:r>
    </w:p>
    <w:p w14:paraId="3E74E12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Agency to be reasonably certain that no regional population is </w:t>
      </w:r>
    </w:p>
    <w:p w14:paraId="24EEEA7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exposed to residue levels higher than those estimated by the Agency. </w:t>
      </w:r>
    </w:p>
    <w:p w14:paraId="7CA69C4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Other than the data available through national food consumption </w:t>
      </w:r>
    </w:p>
    <w:p w14:paraId="1EC5DB4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surveys, EPA does not have available reliable information on the </w:t>
      </w:r>
    </w:p>
    <w:p w14:paraId="277944E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regional consumption of food to which bifenthrin may be applied in a </w:t>
      </w:r>
    </w:p>
    <w:p w14:paraId="72540D4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particular area.</w:t>
      </w:r>
    </w:p>
    <w:p w14:paraId="1D8F519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2. Dietary exposure from drinking water. The Agency used screening </w:t>
      </w:r>
    </w:p>
    <w:p w14:paraId="1E38CE4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level water exposure models in the dietary exposure analysis and risk </w:t>
      </w:r>
    </w:p>
    <w:p w14:paraId="044DCF1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assessment for bifenthrin in drinking water. These simulation models </w:t>
      </w:r>
    </w:p>
    <w:p w14:paraId="380E444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take into account data on the physical, chemical, and fate/transport </w:t>
      </w:r>
    </w:p>
    <w:p w14:paraId="165F187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characteristics of bifenthrin. Further information regarding EPA </w:t>
      </w:r>
    </w:p>
    <w:p w14:paraId="593B371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drinking water models used in pesticide exposure assessment can be </w:t>
      </w:r>
    </w:p>
    <w:p w14:paraId="4FBC883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found at </w:t>
      </w:r>
      <w:hyperlink r:id="rId16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http://www2.epa.gov/pesticide-science-and-assessing-pesticide-risks/about-water-exposure-models-used-pesticide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EC2047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EPA used the limit of solubility as the drinking water input, i.e., </w:t>
      </w:r>
    </w:p>
    <w:p w14:paraId="443301D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maximum possible residues that could occur in drinking water based </w:t>
      </w:r>
    </w:p>
    <w:p w14:paraId="73DA1AB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on the chemical properties of the compound. EPA used the modeled EDWCs </w:t>
      </w:r>
    </w:p>
    <w:p w14:paraId="11401CF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directly in the dietary exposure model to account for the contribution </w:t>
      </w:r>
    </w:p>
    <w:p w14:paraId="63A365E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of bifenthrin residues in drinking water as follows: 0.014 ppb was used </w:t>
      </w:r>
    </w:p>
    <w:p w14:paraId="0E8A122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 the acute assessment and 0.014 ppb was used in the chronic </w:t>
      </w:r>
    </w:p>
    <w:p w14:paraId="61E7794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assessment.</w:t>
      </w:r>
    </w:p>
    <w:p w14:paraId="0825409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3. From non-dietary exposure. The term ``residential exposure'' is </w:t>
      </w:r>
    </w:p>
    <w:p w14:paraId="182C7F0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used in this document to refer to non-occupational, non-dietary </w:t>
      </w:r>
    </w:p>
    <w:p w14:paraId="7E113D8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 (e.g., for lawn and garden pest control, indoor pest control, </w:t>
      </w:r>
    </w:p>
    <w:p w14:paraId="7671462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termiticides, and flea and tick control on pets). Bifenthrin is </w:t>
      </w:r>
    </w:p>
    <w:p w14:paraId="729DC46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currently registered for the following uses that could result in </w:t>
      </w:r>
    </w:p>
    <w:p w14:paraId="298462B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residential exposures: Lawns/turf, indoor environments, gardens/trees, </w:t>
      </w:r>
    </w:p>
    <w:p w14:paraId="56CC8C8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pets (dog shampoo), termiticide and indoor/outdoor surface treatment </w:t>
      </w:r>
    </w:p>
    <w:p w14:paraId="0037124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for various residential and commercial premises.</w:t>
      </w:r>
    </w:p>
    <w:p w14:paraId="5BC4C00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EPA assessed residential exposure using the following assumptions. </w:t>
      </w:r>
    </w:p>
    <w:p w14:paraId="26069F2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There is the potential for residential handler and post-application </w:t>
      </w:r>
    </w:p>
    <w:p w14:paraId="6714C3F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exposures from the use of bifenthrin. These exposures were assessed </w:t>
      </w:r>
    </w:p>
    <w:p w14:paraId="22AF571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using the 2012 Residential SOPs and submitted chemical-specific residue </w:t>
      </w:r>
    </w:p>
    <w:p w14:paraId="3BACDE3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data [bifenthrin-specific turf transferable residue (TTR; liquid and </w:t>
      </w:r>
    </w:p>
    <w:p w14:paraId="71D54A5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granular) and dislodgeable foliar residue (DFR; liquid) data are </w:t>
      </w:r>
    </w:p>
    <w:p w14:paraId="1E925A4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available]. EPA did not quantitatively assess the outdoor residential </w:t>
      </w:r>
    </w:p>
    <w:p w14:paraId="6F9D375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handler uses in/around home foundations, outdoor impervious surfaces, </w:t>
      </w:r>
    </w:p>
    <w:p w14:paraId="7D60181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wood piles/structures and fence posts. Residential handler exposure </w:t>
      </w:r>
    </w:p>
    <w:p w14:paraId="6A89C36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assessments were performed for adult homeowners applying bifenthrin </w:t>
      </w:r>
    </w:p>
    <w:p w14:paraId="421A79D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ready-to-use products (aerosol, hose-end sprayers and dog shampoos); </w:t>
      </w:r>
    </w:p>
    <w:p w14:paraId="0CC23AF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mixing/loading/applying liquid concentrates; loading/applying granular </w:t>
      </w:r>
    </w:p>
    <w:p w14:paraId="125D4FE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formulations and applying dust formulations. The application rates for </w:t>
      </w:r>
    </w:p>
    <w:p w14:paraId="20D01F6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these uses that were quantitatively assessed are equal to or higher </w:t>
      </w:r>
    </w:p>
    <w:p w14:paraId="6B515FE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than those outdoor uses and thus are protective of the outdoor uses. </w:t>
      </w:r>
    </w:p>
    <w:p w14:paraId="2BD8DE3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Dermal and inhalation risk estimates were combined in this assessment </w:t>
      </w:r>
    </w:p>
    <w:p w14:paraId="39D1879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because the toxicological effects for these exposure routes were the </w:t>
      </w:r>
    </w:p>
    <w:p w14:paraId="364AD09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same. A total aggregate risk index (ARI) was used because the levels of </w:t>
      </w:r>
    </w:p>
    <w:p w14:paraId="6F3127E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concern (LOCs) for dermal exposure (100) and inhalation exposure (30) </w:t>
      </w:r>
    </w:p>
    <w:p w14:paraId="4BD52DE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are different. ARIs of less than 1 are risk estimates of concern. The </w:t>
      </w:r>
    </w:p>
    <w:p w14:paraId="4C4EADF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ARIs were calculated as follows. Aggregate Risk Index (ARI) = 1/ </w:t>
      </w:r>
    </w:p>
    <w:p w14:paraId="0175B02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[(Dermal LOC / Dermal MOE) + (Inhalation LOC / Inhalation MOE)]. All </w:t>
      </w:r>
    </w:p>
    <w:p w14:paraId="1AF3C1E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exposures are short-term in nature. There are no dermal or inhalation </w:t>
      </w:r>
    </w:p>
    <w:p w14:paraId="1463814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risk estimates of concern for residential handlers for the registered </w:t>
      </w:r>
    </w:p>
    <w:p w14:paraId="48647B5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uses of bifenthrin.</w:t>
      </w:r>
    </w:p>
    <w:p w14:paraId="51DDA82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Post-application exposure was assessed for broadcast applications </w:t>
      </w:r>
    </w:p>
    <w:p w14:paraId="3F8941B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 turf, gardens/trees, indoor environments (carpets and hard floor) </w:t>
      </w:r>
    </w:p>
    <w:p w14:paraId="0FAA663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treated pets. Residential post-application exposures are expected </w:t>
      </w:r>
    </w:p>
    <w:p w14:paraId="171F2A7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 be short-, intermediate- or long-term in duration. Because the </w:t>
      </w:r>
    </w:p>
    <w:p w14:paraId="21ABCCD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single dose and repeat dosing bifenthrin studies show that repeat </w:t>
      </w:r>
    </w:p>
    <w:p w14:paraId="56DE899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exposures do not result in lower points of departure, the residential </w:t>
      </w:r>
    </w:p>
    <w:p w14:paraId="3250F06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assessments are conducted as a series of acute exposures and the same </w:t>
      </w:r>
    </w:p>
    <w:p w14:paraId="66242A2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endpoint is used regardless of duration. Therefore, the acute/single </w:t>
      </w:r>
    </w:p>
    <w:p w14:paraId="1472595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day residential post-application assessments are protective of expected </w:t>
      </w:r>
    </w:p>
    <w:p w14:paraId="01D9138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longer-term exposures. Dermal and incidental oral risk estimates were </w:t>
      </w:r>
    </w:p>
    <w:p w14:paraId="7FCFD89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combined because the toxicological effects for these exposure routes </w:t>
      </w:r>
    </w:p>
    <w:p w14:paraId="63B621C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were similar [combined Margin of Exposure (MOE) approach used since </w:t>
      </w:r>
    </w:p>
    <w:p w14:paraId="5D3AD44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LOCs are the same].</w:t>
      </w:r>
    </w:p>
    <w:p w14:paraId="34EF048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There were some residential post-application risk estimates of </w:t>
      </w:r>
    </w:p>
    <w:p w14:paraId="508DB39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concern identified previously in Registration Review. Specifically, </w:t>
      </w:r>
    </w:p>
    <w:p w14:paraId="672F8E0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dermal post-application risks were identified for a liquid formulation </w:t>
      </w:r>
    </w:p>
    <w:p w14:paraId="2669A60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product with a maximum application rate of 2.3 lb ai/A, and risks were </w:t>
      </w:r>
    </w:p>
    <w:p w14:paraId="3E120B9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identified for episodic ingestion of granules at application rates </w:t>
      </w:r>
    </w:p>
    <w:p w14:paraId="5553858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greater than 0.34 lb ai/A. As a result, during Registration Review, </w:t>
      </w:r>
    </w:p>
    <w:p w14:paraId="00369EE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some bifenthrin labels were amended or canceled to address these risk </w:t>
      </w:r>
    </w:p>
    <w:p w14:paraId="4A7ADE5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concerns. The product label for the liquid formulation with the high </w:t>
      </w:r>
    </w:p>
    <w:p w14:paraId="66B12C1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application rate of 2.3 lb ai/A, which was canceled as of July 2021 </w:t>
      </w:r>
    </w:p>
    <w:p w14:paraId="35F641B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(EPA Reg. #279-3152), was never commercialized. Because that product </w:t>
      </w:r>
    </w:p>
    <w:p w14:paraId="4343892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was never sold or distributed, there are no exposures from that product </w:t>
      </w:r>
    </w:p>
    <w:p w14:paraId="10F28E0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for consideration in the aggregate risk assessment. In addition, 25 </w:t>
      </w:r>
    </w:p>
    <w:p w14:paraId="443FF7C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granular products were either canceled or amended to require watering </w:t>
      </w:r>
    </w:p>
    <w:p w14:paraId="6511D84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 of the product after application when application rates were greater </w:t>
      </w:r>
    </w:p>
    <w:p w14:paraId="78A2D1B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than 0.34 lb ai/A. Although these label changes reduce the risks from </w:t>
      </w:r>
    </w:p>
    <w:p w14:paraId="1955377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ingestion of granules, that use is not included in the aggregate </w:t>
      </w:r>
    </w:p>
    <w:p w14:paraId="753DE18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assessment because it is considered an episodic event and not a routine </w:t>
      </w:r>
    </w:p>
    <w:p w14:paraId="6201668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behavior.</w:t>
      </w:r>
    </w:p>
    <w:p w14:paraId="6AC6763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 following residential exposure scenarios were selected for </w:t>
      </w:r>
    </w:p>
    <w:p w14:paraId="5AB333B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aggregation and represent the worst-case risk estimates: Adults </w:t>
      </w:r>
    </w:p>
    <w:p w14:paraId="27D4C66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contacting treated gardens (dermal exposure); children 1 to</w:t>
      </w:r>
    </w:p>
    <w:p w14:paraId="28CB669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E2B38D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[[Page 68155]]</w:t>
      </w:r>
    </w:p>
    <w:p w14:paraId="7B2FB03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F875B2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&lt;2 years old contacting treated turf (dermal and incidental oral </w:t>
      </w:r>
    </w:p>
    <w:p w14:paraId="36C1FF0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 at the 0.23 lb ai/A rate); children 6 to &lt;11 years old </w:t>
      </w:r>
    </w:p>
    <w:p w14:paraId="4B60969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contacting treated gardens (dermal exposure); and children 11 to 16 </w:t>
      </w:r>
    </w:p>
    <w:p w14:paraId="537EE94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years old golfing on treated turf (dermal exposure).</w:t>
      </w:r>
    </w:p>
    <w:p w14:paraId="46C8971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Further information regarding EPA standard assumptions and generic </w:t>
      </w:r>
    </w:p>
    <w:p w14:paraId="1858698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inputs for residential exposures may be found at </w:t>
      </w:r>
      <w:hyperlink r:id="rId17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http://www2.epa.gov/pesticide-science-and-assessing-pesticide-risks/standard-operating-procedures-residential-pesticide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2D6222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    4. Cumulative effects from substances with a common mechanism of </w:t>
      </w:r>
    </w:p>
    <w:p w14:paraId="3BE953D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toxicity. Section 408(b)(2)(D)(v) of FFDCA requires that, when </w:t>
      </w:r>
    </w:p>
    <w:p w14:paraId="01431E6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considering whether to establish, modify, or revoke a tolerance, the </w:t>
      </w:r>
    </w:p>
    <w:p w14:paraId="06F1219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Agency consider ``available information'' concerning the cumulative </w:t>
      </w:r>
    </w:p>
    <w:p w14:paraId="6BA27A1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effects of a particular pesticide's residues and ``other substances </w:t>
      </w:r>
    </w:p>
    <w:p w14:paraId="5332C0B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that have a common mechanism of toxicity.''</w:t>
      </w:r>
    </w:p>
    <w:p w14:paraId="5D176A5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 Agency has determined that the pyrethroids and pyrethrins share </w:t>
      </w:r>
    </w:p>
    <w:p w14:paraId="665696B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 common mechanism of toxicity (</w:t>
      </w:r>
      <w:hyperlink r:id="rId18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http://www.regulations.gov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 EPA-HQ-OPP-</w:t>
      </w:r>
    </w:p>
    <w:p w14:paraId="22E0DCE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2008-0489-0006). As explained in that document, the members of this </w:t>
      </w:r>
    </w:p>
    <w:p w14:paraId="2787250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group share the ability to interact with voltage-gated sodium channels </w:t>
      </w:r>
    </w:p>
    <w:p w14:paraId="06A4E76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ultimately leading to neurotoxicity. In 2011, after establishing a </w:t>
      </w:r>
    </w:p>
    <w:p w14:paraId="7F4DE3B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common mechanism grouping for the pyrethroids and pyrethrins, the </w:t>
      </w:r>
    </w:p>
    <w:p w14:paraId="6A2584A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Agency conducted a cumulative risk assessment (CRA) which is available </w:t>
      </w:r>
    </w:p>
    <w:p w14:paraId="3C5FA64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at </w:t>
      </w:r>
      <w:hyperlink r:id="rId19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http://www.regulations.gov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; EPA-HQ-OPP-2011-0746. In that document, </w:t>
      </w:r>
    </w:p>
    <w:p w14:paraId="3C7BE6C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Agency concluded that cumulative exposures to pyrethroids (based on </w:t>
      </w:r>
    </w:p>
    <w:p w14:paraId="78518EC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pesticidal uses registered at the time the assessment was conducted) </w:t>
      </w:r>
    </w:p>
    <w:p w14:paraId="6BE029E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did not present risks of concern. For information regarding EPA's </w:t>
      </w:r>
    </w:p>
    <w:p w14:paraId="11B3B40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efforts to evaluate the risk of exposure to this class of chemicals, </w:t>
      </w:r>
    </w:p>
    <w:p w14:paraId="360DF37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refer to </w:t>
      </w:r>
      <w:hyperlink r:id="rId20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https://www.epa.gov/ingredients-used-pesticide-products/pyrethrins-and-pyrethroids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041F94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Since the 2011 CRA, for each new pyrethroid and pyrethrin use, the </w:t>
      </w:r>
    </w:p>
    <w:p w14:paraId="0E057CA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Agency has conducted a screen to evaluate any potential impacts on the </w:t>
      </w:r>
    </w:p>
    <w:p w14:paraId="038BD44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CRA prior to registration of that use. A new turf use for the </w:t>
      </w:r>
    </w:p>
    <w:p w14:paraId="265C92A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pyrethroid, tau-fluvalinate, was assessed after completion of the </w:t>
      </w:r>
    </w:p>
    <w:p w14:paraId="48739E4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cumulative, which did impact the worst-case non-dietary risk estimates </w:t>
      </w:r>
    </w:p>
    <w:p w14:paraId="168B38A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identified in the 2011 CRA for the turf scenario (Memo, DeLeon, H., </w:t>
      </w:r>
    </w:p>
    <w:p w14:paraId="7608F6A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D450820, 12/16/2019). However, the overall finding (i.e., that the </w:t>
      </w:r>
    </w:p>
    <w:p w14:paraId="50EAF69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pyrethroid cumulative risk is below the Agency's level of concern) did </w:t>
      </w:r>
    </w:p>
    <w:p w14:paraId="61024F2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not change upon registration of this new use.</w:t>
      </w:r>
    </w:p>
    <w:p w14:paraId="30A263C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To account for the additional uses requiring tolerances in this </w:t>
      </w:r>
    </w:p>
    <w:p w14:paraId="60DAAB5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rule, the Agency has conducted an additional screen, taking into </w:t>
      </w:r>
    </w:p>
    <w:p w14:paraId="3FED52C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account all previously approved uses and these proposed new uses. The </w:t>
      </w:r>
    </w:p>
    <w:p w14:paraId="0E8E3C8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additional uses will not significantly impact the cumulative assessment </w:t>
      </w:r>
    </w:p>
    <w:p w14:paraId="01B5719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because dietary exposures make a minor contribution to total pyrethroid </w:t>
      </w:r>
    </w:p>
    <w:p w14:paraId="28D2B60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 relative to residential exposures in the 2011 cumulative risk </w:t>
      </w:r>
    </w:p>
    <w:p w14:paraId="369EB33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assessment. Therefore, the results of the 2011 CRA are still valid and </w:t>
      </w:r>
    </w:p>
    <w:p w14:paraId="014D3E9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there are no cumulative risks of concern for the pyrethroids/</w:t>
      </w:r>
    </w:p>
    <w:p w14:paraId="0B65D30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pyrethrins.</w:t>
      </w:r>
    </w:p>
    <w:p w14:paraId="5C5DC70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4A8425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D. Safety Factor for Infants and Children</w:t>
      </w:r>
    </w:p>
    <w:p w14:paraId="16053AE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1B2689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1. In general. Section 408(b)(2)(C) of FFDCA provides that EPA </w:t>
      </w:r>
    </w:p>
    <w:p w14:paraId="1463688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shall apply an additional tenfold (10X) margin of safety for infants </w:t>
      </w:r>
    </w:p>
    <w:p w14:paraId="44AE170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children in the case of threshold effects to account for prenatal </w:t>
      </w:r>
    </w:p>
    <w:p w14:paraId="65B6376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postnatal toxicity and the completeness of the database on toxicity </w:t>
      </w:r>
    </w:p>
    <w:p w14:paraId="1A78CF7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exposure unless EPA determines based on reliable data that a </w:t>
      </w:r>
    </w:p>
    <w:p w14:paraId="27BC395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different margin of safety will be safe for infants and children. This </w:t>
      </w:r>
    </w:p>
    <w:p w14:paraId="7AF1678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additional margin of safety is commonly referred to as the FQPA Safety </w:t>
      </w:r>
    </w:p>
    <w:p w14:paraId="1A1E39A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Factor (SF). In applying this provision, EPA either retains the default </w:t>
      </w:r>
    </w:p>
    <w:p w14:paraId="1495B25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value of 10X, or uses a different additional safety factor when </w:t>
      </w:r>
    </w:p>
    <w:p w14:paraId="4DE6F60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reliable data available to EPA support the choice of a different </w:t>
      </w:r>
    </w:p>
    <w:p w14:paraId="3078C57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factor.</w:t>
      </w:r>
    </w:p>
    <w:p w14:paraId="243BD05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2. Prenatal and postnatal sensitivity. Bifenthrin has been </w:t>
      </w:r>
    </w:p>
    <w:p w14:paraId="25B4E50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evaluated for potential developmental effects in the rat (following </w:t>
      </w:r>
    </w:p>
    <w:p w14:paraId="27C36A0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gavage and dietary administration) and in the rabbit (gavage </w:t>
      </w:r>
    </w:p>
    <w:p w14:paraId="0EC76DA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administration). Maternal toxicity included neurological effects </w:t>
      </w:r>
    </w:p>
    <w:p w14:paraId="13C5803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(tremors in rats and rabbits; head and forelimb twitching in rabbits). </w:t>
      </w:r>
    </w:p>
    <w:p w14:paraId="1AD4D02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There were no developmental effects of biological significance in </w:t>
      </w:r>
    </w:p>
    <w:p w14:paraId="7142C3B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either species. The registrant submitted a Developmental Neurotoxicity </w:t>
      </w:r>
    </w:p>
    <w:p w14:paraId="295AD88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(DNT) study, which establishes a clear NOAEL for the adult and </w:t>
      </w:r>
    </w:p>
    <w:p w14:paraId="1D31DB4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offspring toxicity. The NOAEL in adults and offspring is similar in </w:t>
      </w:r>
    </w:p>
    <w:p w14:paraId="1CB5448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magnitude, and the LOAELs are based on the clinical signs of </w:t>
      </w:r>
    </w:p>
    <w:p w14:paraId="7111ADF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neurotoxicity (dams had tremors and convulsions, offspring had </w:t>
      </w:r>
    </w:p>
    <w:p w14:paraId="4E4B401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increased grooming counts). Based on targeted testing in the DNT study </w:t>
      </w:r>
    </w:p>
    <w:p w14:paraId="37E73D5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for common endpoints for bifenthrin, there was no increase in </w:t>
      </w:r>
    </w:p>
    <w:p w14:paraId="3D287A1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sensitivity in rat pups. However, the Agency has reviewed existing </w:t>
      </w:r>
    </w:p>
    <w:p w14:paraId="54E15FA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pyrethroid data and concludes that the DNT is not a particularly </w:t>
      </w:r>
    </w:p>
    <w:p w14:paraId="651FA7E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sensitive study for comparing the sensitivity of young and adult </w:t>
      </w:r>
    </w:p>
    <w:p w14:paraId="0A79ADD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animals to pyrethroids. Some literature studies indicated </w:t>
      </w:r>
    </w:p>
    <w:p w14:paraId="790E4E1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susceptibility for other pyrethroids, but in context, these studies </w:t>
      </w:r>
    </w:p>
    <w:p w14:paraId="34D7C64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were conducted at relatively high doses, which may not reflect </w:t>
      </w:r>
    </w:p>
    <w:p w14:paraId="54DDF1C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environmental exposures. The reproductive toxicity of bifenthrin was </w:t>
      </w:r>
    </w:p>
    <w:p w14:paraId="619209C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examined in a 2-generation reproduction dietary study in the rat. </w:t>
      </w:r>
    </w:p>
    <w:p w14:paraId="3A8F16D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Tremors were noted only in females of both generations, with one </w:t>
      </w:r>
    </w:p>
    <w:p w14:paraId="1E6C7C1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parental generation rat observed to have clonic convulsions, and no </w:t>
      </w:r>
    </w:p>
    <w:p w14:paraId="42E06DF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observed effects in the offspring. Overall, there is no indication of </w:t>
      </w:r>
    </w:p>
    <w:p w14:paraId="36E79C1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increased juvenile sensitivity specifically to bifenthrin.</w:t>
      </w:r>
    </w:p>
    <w:p w14:paraId="6E5CAFE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3. Conclusion. EPA has determined that reliable data show the </w:t>
      </w:r>
    </w:p>
    <w:p w14:paraId="74D5AAB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safety of infants and children would be adequately protected if the </w:t>
      </w:r>
    </w:p>
    <w:p w14:paraId="4403923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FQPA SF were reduced to 1X. That decision is based on the following </w:t>
      </w:r>
    </w:p>
    <w:p w14:paraId="580C159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findings.</w:t>
      </w:r>
    </w:p>
    <w:p w14:paraId="62A495F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i. The toxicity database for bifenthrin is complete.</w:t>
      </w:r>
    </w:p>
    <w:p w14:paraId="5F19542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ii. Like other pyrethroids, bifenthrin causes clinical signs of </w:t>
      </w:r>
    </w:p>
    <w:p w14:paraId="69BF5EC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neurotoxicity from interaction with sodium channels. These effects are </w:t>
      </w:r>
    </w:p>
    <w:p w14:paraId="6DA49C2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adequately assessed by the available guideline and non-guideline </w:t>
      </w:r>
    </w:p>
    <w:p w14:paraId="5F06D75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studies. Bifenthrin is a Type I pyrethroid, and neurotoxic effects </w:t>
      </w:r>
    </w:p>
    <w:p w14:paraId="2480CCF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characteristic of Type I pyrethroids were observed in adults in most of </w:t>
      </w:r>
    </w:p>
    <w:p w14:paraId="7C4348A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bifenthrin toxicity database. Specifically, muscle tremors and </w:t>
      </w:r>
    </w:p>
    <w:p w14:paraId="3C47790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decreased motor activity were observed in adults in guideline studies </w:t>
      </w:r>
    </w:p>
    <w:p w14:paraId="1CFBB2B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throughout the bifenthrin toxicology database, and hind-limb flexion </w:t>
      </w:r>
    </w:p>
    <w:p w14:paraId="7F045C9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was observed in adults the dermal study. For these reasons, the tremors </w:t>
      </w:r>
    </w:p>
    <w:p w14:paraId="6560F09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seen in juveniles in the 2-generation reproduction study are not </w:t>
      </w:r>
    </w:p>
    <w:p w14:paraId="52FA7B5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considered age-dependent effects.</w:t>
      </w:r>
    </w:p>
    <w:p w14:paraId="6E5A921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iii. There was no evidence that bifenthrin resulted in increased </w:t>
      </w:r>
    </w:p>
    <w:p w14:paraId="23A291B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susceptibility in in utero rats or rabbits in the prenatal </w:t>
      </w:r>
    </w:p>
    <w:p w14:paraId="2EBDA10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developmental studies or in young rats in the 2-generation reproduction </w:t>
      </w:r>
    </w:p>
    <w:p w14:paraId="3BD676A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study. Previously, however, EPA retained a FQPA safety factor of 3X to </w:t>
      </w:r>
    </w:p>
    <w:p w14:paraId="2D93F0D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account for concerns about pharmacokinetic (PK) differences between </w:t>
      </w:r>
    </w:p>
    <w:p w14:paraId="1F8A423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adults and children. The Agency has re-evaluated the need for an FQPA </w:t>
      </w:r>
    </w:p>
    <w:p w14:paraId="161B0BF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Safety Factor for human health risk assessments for pyrethroid </w:t>
      </w:r>
    </w:p>
    <w:p w14:paraId="26A7410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pesticides based on a review of the available guideline and literature </w:t>
      </w:r>
    </w:p>
    <w:p w14:paraId="7977514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studies as well as data from the Council for the Advancement of </w:t>
      </w:r>
    </w:p>
    <w:p w14:paraId="717634E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Pyrethroid Human Risk Assessment (CAPHRA) program. That recent data, </w:t>
      </w:r>
    </w:p>
    <w:p w14:paraId="5ED7BA8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including human physiologically based pharmacokinetic (PBPK) models as </w:t>
      </w:r>
    </w:p>
    <w:p w14:paraId="151B098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well as in vivo and in vitro data on protein binding, enzyme ontogeny, </w:t>
      </w:r>
    </w:p>
    <w:p w14:paraId="49498D5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metabolic clearance, support the conclusion that the PK </w:t>
      </w:r>
    </w:p>
    <w:p w14:paraId="25C0CBE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contribution to the FQPA safety factor can be reduced to 1X for all </w:t>
      </w:r>
    </w:p>
    <w:p w14:paraId="705C243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populations.</w:t>
      </w:r>
    </w:p>
    <w:p w14:paraId="19E5C85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iv. There are no residual uncertainties identified in the exposure </w:t>
      </w:r>
    </w:p>
    <w:p w14:paraId="1F4294C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databases.</w:t>
      </w:r>
    </w:p>
    <w:p w14:paraId="58528FD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7264835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[[Page 68156]]</w:t>
      </w:r>
    </w:p>
    <w:p w14:paraId="150EA95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E82820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Although the acute dietary exposure estimates are refined, the exposure </w:t>
      </w:r>
    </w:p>
    <w:p w14:paraId="1FC3658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estimates will not underestimate risk for the established and proposed </w:t>
      </w:r>
    </w:p>
    <w:p w14:paraId="261B4A0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uses of bifenthrin since the residue levels used are based on either </w:t>
      </w:r>
    </w:p>
    <w:p w14:paraId="7FF4DCA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monitoring data reflecting actual residues found in the food supply, or </w:t>
      </w:r>
    </w:p>
    <w:p w14:paraId="6FC16C7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on high-end residues from field trials which reflect the use patterns </w:t>
      </w:r>
    </w:p>
    <w:p w14:paraId="6A6A4EC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which would result in highest residues in foods. Furthermore, </w:t>
      </w:r>
    </w:p>
    <w:p w14:paraId="0B5CB11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processing factors used were either those measured in processing </w:t>
      </w:r>
    </w:p>
    <w:p w14:paraId="7E016FF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studies, or default high-end factors representing the maximum </w:t>
      </w:r>
    </w:p>
    <w:p w14:paraId="1830C5E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concentration of residue into a processed commodity. EPA made </w:t>
      </w:r>
    </w:p>
    <w:p w14:paraId="2223DAF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conservative (protective) assumptions to assess exposure to bifenthrin </w:t>
      </w:r>
    </w:p>
    <w:p w14:paraId="5493551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 drinking water. EPA used similarly conservative assumptions to </w:t>
      </w:r>
    </w:p>
    <w:p w14:paraId="3333879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assess post-application exposure of children as well as incidental oral </w:t>
      </w:r>
    </w:p>
    <w:p w14:paraId="5AE606A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 of toddlers. These assessments will not underestimate the </w:t>
      </w:r>
    </w:p>
    <w:p w14:paraId="4599D0C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exposure and risks posed by bifenthrin.</w:t>
      </w:r>
    </w:p>
    <w:p w14:paraId="38EACD7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2D9150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E. Aggregate Risks and Determination of Safety</w:t>
      </w:r>
    </w:p>
    <w:p w14:paraId="7D08ED0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A7B3CC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EPA determines whether acute and chronic dietary pesticide </w:t>
      </w:r>
    </w:p>
    <w:p w14:paraId="44D7808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exposures are safe by comparing aggregate exposure estimates to the </w:t>
      </w:r>
    </w:p>
    <w:p w14:paraId="1A6A738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acute PAD (aPAD) and chronic PAD (cPAD). For linear cancer risks, EPA </w:t>
      </w:r>
    </w:p>
    <w:p w14:paraId="00DF4D5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calculates the lifetime probability of acquiring cancer given the </w:t>
      </w:r>
    </w:p>
    <w:p w14:paraId="11A63AF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estimated aggregate exposure. Short-, intermediate-, and chronic-term </w:t>
      </w:r>
    </w:p>
    <w:p w14:paraId="313149C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risks are evaluated by comparing the estimated aggregate food, water, </w:t>
      </w:r>
    </w:p>
    <w:p w14:paraId="4AE8758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residential exposure to the appropriate PODs to ensure that an </w:t>
      </w:r>
    </w:p>
    <w:p w14:paraId="52F0B10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adequate MOE exists.</w:t>
      </w:r>
    </w:p>
    <w:p w14:paraId="76C3ABD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1. Acute risk. Using the exposure assumptions discussed in this </w:t>
      </w:r>
    </w:p>
    <w:p w14:paraId="4BA4123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unit for acute exposure, the acute dietary exposure from food and water </w:t>
      </w:r>
    </w:p>
    <w:p w14:paraId="705BFAA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 bifenthrin will occupy 15% of the aPAD for infants (&lt;1 year old), </w:t>
      </w:r>
    </w:p>
    <w:p w14:paraId="13ACED9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population group receiving the greatest exposure. The acute </w:t>
      </w:r>
    </w:p>
    <w:p w14:paraId="6C23371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aggregate risk assessment combines exposures to bifenthrin in food and </w:t>
      </w:r>
    </w:p>
    <w:p w14:paraId="1E05052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drinking water only and is equivalent to the acute dietary assessment. </w:t>
      </w:r>
    </w:p>
    <w:p w14:paraId="41A4ACE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There are no acute aggregate risks estimates of concern.</w:t>
      </w:r>
    </w:p>
    <w:p w14:paraId="658AB33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2. Chronic risk. The chronic (food and drinking water) exposure </w:t>
      </w:r>
    </w:p>
    <w:p w14:paraId="150980B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assessment for bifenthrin was conducted solely for the purpose of </w:t>
      </w:r>
    </w:p>
    <w:p w14:paraId="289C00D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obtaining an average dietary exposure estimate for use in the aggregate </w:t>
      </w:r>
    </w:p>
    <w:p w14:paraId="03D9047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assessment. The population subgroup with the highest average dietary </w:t>
      </w:r>
    </w:p>
    <w:p w14:paraId="378CD9D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exposure estimate is children 1 to 2 years old (0.000189 mg/kg/day).</w:t>
      </w:r>
    </w:p>
    <w:p w14:paraId="318ED99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3. Short-term risk. Short-term aggregate exposure takes into </w:t>
      </w:r>
    </w:p>
    <w:p w14:paraId="503D40D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account short-term residential exposure plus chronic exposure to food </w:t>
      </w:r>
    </w:p>
    <w:p w14:paraId="58ECE4D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water (considered to be a background exposure level). Bifenthrin is </w:t>
      </w:r>
    </w:p>
    <w:p w14:paraId="13143EE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currently registered for uses that could result in short-term </w:t>
      </w:r>
    </w:p>
    <w:p w14:paraId="0ABD4D1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residential exposure, and the Agency has determined that it is </w:t>
      </w:r>
    </w:p>
    <w:p w14:paraId="1B42BE1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appropriate to aggregate chronic exposure through food and water with </w:t>
      </w:r>
    </w:p>
    <w:p w14:paraId="6A83AA0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short-term residential exposures to bifenthrin.</w:t>
      </w:r>
    </w:p>
    <w:p w14:paraId="581E024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Using the exposure assumptions described in this unit for short-</w:t>
      </w:r>
    </w:p>
    <w:p w14:paraId="1249C7F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term exposures, EPA has concluded the combined short-term food, water, </w:t>
      </w:r>
    </w:p>
    <w:p w14:paraId="338A143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residential exposures result in an aggregate MOE of 520 for adults </w:t>
      </w:r>
    </w:p>
    <w:p w14:paraId="533683F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(treated gardens). The short-term aggregate assessment for children 1 </w:t>
      </w:r>
    </w:p>
    <w:p w14:paraId="6D7213A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 less than 2 years old resulted in an MOE of 170 (treated turf at </w:t>
      </w:r>
    </w:p>
    <w:p w14:paraId="4C68642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0.23 lb ai/A). The short-term aggregate assessment for children 6 to </w:t>
      </w:r>
    </w:p>
    <w:p w14:paraId="5BD7037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less than 11 years old and children 11 to 16 years old resulted in MOEs </w:t>
      </w:r>
    </w:p>
    <w:p w14:paraId="62AC90C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of 1,600 (treated gardens) and 7,600 (golfing), respectively. Because </w:t>
      </w:r>
    </w:p>
    <w:p w14:paraId="113BAE2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EPA's level of concern for bifenthrin is an MOE of 100 or lower, these </w:t>
      </w:r>
    </w:p>
    <w:p w14:paraId="399542B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MOEs are not of concern.</w:t>
      </w:r>
    </w:p>
    <w:p w14:paraId="2E2E69C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4. Intermediate-term risk. Intermediate-term aggregate exposure </w:t>
      </w:r>
    </w:p>
    <w:p w14:paraId="459D1A0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takes into account intermediate-term residential exposure plus chronic </w:t>
      </w:r>
    </w:p>
    <w:p w14:paraId="36FCB93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 to food and water (considered to be a background exposure </w:t>
      </w:r>
    </w:p>
    <w:p w14:paraId="1859523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level). While there is potential intermediate-term residential </w:t>
      </w:r>
    </w:p>
    <w:p w14:paraId="35B2B68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exposure, because the single dose and repeat dosing bifenthrin studies </w:t>
      </w:r>
    </w:p>
    <w:p w14:paraId="24124B7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show that repeat exposures do not result in lower points of departure, </w:t>
      </w:r>
    </w:p>
    <w:p w14:paraId="6CE6D57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residential assessments are conducted as a series of acute </w:t>
      </w:r>
    </w:p>
    <w:p w14:paraId="6E976AD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exposures and the same endpoint is used regardless of duration. </w:t>
      </w:r>
    </w:p>
    <w:p w14:paraId="41EB118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Therefore, the short-term aggregate assessment is considered protective </w:t>
      </w:r>
    </w:p>
    <w:p w14:paraId="720C23E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of any intermediate-term exposures.</w:t>
      </w:r>
    </w:p>
    <w:p w14:paraId="56CA808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5. Aggregate cancer risk for U.S. population. EPA has concluded </w:t>
      </w:r>
    </w:p>
    <w:p w14:paraId="31B0AD3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that the acute reference dose (RfD) will adequately account for all </w:t>
      </w:r>
    </w:p>
    <w:p w14:paraId="61F183A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repeated exposures, including carcinogenicity, which could result from </w:t>
      </w:r>
    </w:p>
    <w:p w14:paraId="0954566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exposure to bifenthrin.</w:t>
      </w:r>
    </w:p>
    <w:p w14:paraId="0383011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6. Determination of safety. Based on these risk assessments, EPA </w:t>
      </w:r>
    </w:p>
    <w:p w14:paraId="53CC884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concludes that there is a reasonable certainty that no harm will result </w:t>
      </w:r>
    </w:p>
    <w:p w14:paraId="6894A78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 the general population, or to infants and children from aggregate </w:t>
      </w:r>
    </w:p>
    <w:p w14:paraId="29EB54B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exposure to bifenthrin residues.</w:t>
      </w:r>
    </w:p>
    <w:p w14:paraId="441E8BB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2E28FA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IV. Other Considerations</w:t>
      </w:r>
    </w:p>
    <w:p w14:paraId="28AE890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ACCDA8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A. Analytical Enforcement Methodology</w:t>
      </w:r>
    </w:p>
    <w:p w14:paraId="2FE8D50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241087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Adequate enforcement methodology (gas chromatography with an </w:t>
      </w:r>
    </w:p>
    <w:p w14:paraId="63EDB8E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electron capture detector (GC/ECD) analyses for determining bifenthrin </w:t>
      </w:r>
    </w:p>
    <w:p w14:paraId="31DB7EA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residues in both plant and livestock commodities) is available to </w:t>
      </w:r>
    </w:p>
    <w:p w14:paraId="4C97063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enforce the tolerance expression. The method may be requested from: </w:t>
      </w:r>
    </w:p>
    <w:p w14:paraId="58D555C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Chief, Analytical Chemistry Branch, Environmental Science Center, 701 </w:t>
      </w:r>
    </w:p>
    <w:p w14:paraId="0B47795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Mapes Rd., Ft. Meade, MD 20755-5350; telephone number: (410) 305-2905; </w:t>
      </w:r>
    </w:p>
    <w:p w14:paraId="50061F1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email address: </w:t>
      </w:r>
      <w:hyperlink r:id="rId21" w:history="1">
        <w:r w:rsidRPr="00AE6106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vi-VN"/>
          </w:rPr>
          <w:t>residuemethods@epa.gov</w:t>
        </w:r>
      </w:hyperlink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5E2DF0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3B9352E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B. International Residue Limits</w:t>
      </w:r>
    </w:p>
    <w:p w14:paraId="1DDF702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FDF8AE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In making its tolerance decisions, EPA seeks to harmonize U.S. </w:t>
      </w:r>
    </w:p>
    <w:p w14:paraId="5DDF780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tolerances with international standards whenever possible, consistent </w:t>
      </w:r>
    </w:p>
    <w:p w14:paraId="610BCD4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with U.S. food safety standards and agricultural practices. EPA </w:t>
      </w:r>
    </w:p>
    <w:p w14:paraId="1CCDF90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considers the international maximum residue limits (MRLs) established </w:t>
      </w:r>
    </w:p>
    <w:p w14:paraId="24D64C4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by the Codex Alimentarius Commission (Codex), as required by FFDCA </w:t>
      </w:r>
    </w:p>
    <w:p w14:paraId="4C39A42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section 408(b)(4). The Codex Alimentarius is a joint United Nations </w:t>
      </w:r>
    </w:p>
    <w:p w14:paraId="5A5C1E6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Food and Agriculture Organization/World Health Organization food </w:t>
      </w:r>
    </w:p>
    <w:p w14:paraId="1B0716E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standards program, and it is recognized as an international food safety </w:t>
      </w:r>
    </w:p>
    <w:p w14:paraId="7A0692A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standards-setting organization in trade agreements to which the United </w:t>
      </w:r>
    </w:p>
    <w:p w14:paraId="6935F33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States is a party. EPA may establish a tolerance that is different from </w:t>
      </w:r>
    </w:p>
    <w:p w14:paraId="55C0E5F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 Codex MRL; however, FFDCA section 408(b)(4) requires that EPA explain </w:t>
      </w:r>
    </w:p>
    <w:p w14:paraId="644406A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the reasons for departing from the Codex level.</w:t>
      </w:r>
    </w:p>
    <w:p w14:paraId="20C03C8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 Codex has not established any MRLs for bifenthrin in or on </w:t>
      </w:r>
    </w:p>
    <w:p w14:paraId="09DE537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apple, wet pomace; avocado; fruit, pome, group 11-10; peach, or </w:t>
      </w:r>
    </w:p>
    <w:p w14:paraId="3135E3D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pomegranate. The following U.S. tolerances being established are </w:t>
      </w:r>
    </w:p>
    <w:p w14:paraId="7B7170A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harmonized with the Codex MRLs, which are identified in parentheses: </w:t>
      </w:r>
    </w:p>
    <w:p w14:paraId="49FB016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Caneberry subgroup 13-07A at 1 ppm (blackberry, dewberries and </w:t>
      </w:r>
    </w:p>
    <w:p w14:paraId="3D7153F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raspberries); fruit, citrus, group 10-10 at 0.05 ppm (citrus fruit); </w:t>
      </w:r>
    </w:p>
    <w:p w14:paraId="3FAFD1A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nut, tree, group 14-12 at 0.05 ppm (tree nuts). The U.S. tolerance </w:t>
      </w:r>
    </w:p>
    <w:p w14:paraId="570AA4B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for pepper/eggplant subgroup 8-10B at 0.5 ppm is harmonized with the </w:t>
      </w:r>
    </w:p>
    <w:p w14:paraId="4E5F0C4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Codex MRL on pepper. It is not possible to harmonize with the Codex </w:t>
      </w:r>
    </w:p>
    <w:p w14:paraId="2F65DD6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MRLs of all commodities in the subgroup, including eggplant at 0.3 ppm </w:t>
      </w:r>
    </w:p>
    <w:p w14:paraId="71EC60D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and dried chili peppers at 5 ppm.</w:t>
      </w:r>
    </w:p>
    <w:p w14:paraId="144BBB1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 Codex has established an MRL for bifenthrin in or on grape at </w:t>
      </w:r>
    </w:p>
    <w:p w14:paraId="3855815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0.3 ppm. The Agency is establishing the tolerance in or on fruit, </w:t>
      </w:r>
    </w:p>
    <w:p w14:paraId="434F45C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small, vine climbing, except fuzzy kiwifruit, subgroup 13-07F at 0.3 </w:t>
      </w:r>
    </w:p>
    <w:p w14:paraId="53351AC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ppm (rather than at 0.2 ppm, the existing U.S. tolerance on grape) to </w:t>
      </w:r>
    </w:p>
    <w:p w14:paraId="3751B15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harmonize with the Codex MRL on grape.</w:t>
      </w:r>
    </w:p>
    <w:p w14:paraId="540E31E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 Canadian MRL for bifenthrin in or on pear is 0.9 ppm and there </w:t>
      </w:r>
    </w:p>
    <w:p w14:paraId="3F9D1AB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are no Codex MRLs for the commodities in the pome fruit crop group. EPA </w:t>
      </w:r>
    </w:p>
    <w:p w14:paraId="091700B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is establishing the U.S. tolerance for fruit, pome, group 11-10, except </w:t>
      </w:r>
    </w:p>
    <w:p w14:paraId="5282B68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mayhaw at 0.9 ppm (rather than at the request level of 0.70 ppm based </w:t>
      </w:r>
    </w:p>
    <w:p w14:paraId="7BA161A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on submitted residue data and the existing U.S. tolerance for</w:t>
      </w:r>
    </w:p>
    <w:p w14:paraId="792B891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636763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[[Page 68157]]</w:t>
      </w:r>
    </w:p>
    <w:p w14:paraId="4263085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C44711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pear) to harmonize with the Canadian MRL.</w:t>
      </w:r>
    </w:p>
    <w:p w14:paraId="18B4282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EPA is establishing the tolerance for tomato subgroup 8-10A at 0.3 </w:t>
      </w:r>
    </w:p>
    <w:p w14:paraId="5274FFB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ppm (rather than at 0.15 ppm, the existing U.S. tolerance on tomato) to </w:t>
      </w:r>
    </w:p>
    <w:p w14:paraId="6D82D50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harmonize with the Codex MRL of 0.3 ppm in/on tomato. Additionally, EPA </w:t>
      </w:r>
    </w:p>
    <w:p w14:paraId="4F32C38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is establishing the tolerance for Brassica, leafy greens, subgroup 4-</w:t>
      </w:r>
    </w:p>
    <w:p w14:paraId="69832FF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16B at 4 ppm (rather than at 3.5 ppm, the existing U.S. tolerance on </w:t>
      </w:r>
    </w:p>
    <w:p w14:paraId="68D3D31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Brassica, leafy greens, subgroup 5B) to harmonize with the Codex MRL of </w:t>
      </w:r>
    </w:p>
    <w:p w14:paraId="2157358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4 ppm in/on mustard greens.</w:t>
      </w:r>
    </w:p>
    <w:p w14:paraId="29ADAA7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It is not possible to harmonize the U.S. tolerance for Berry, low </w:t>
      </w:r>
    </w:p>
    <w:p w14:paraId="0671DEC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growing, subgroup 13-07G at 3 ppm with the Codex MRL for strawberry at </w:t>
      </w:r>
    </w:p>
    <w:p w14:paraId="597BD3E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 ppm. Reducing the U.S. tolerance would put U.S. growers at risk of </w:t>
      </w:r>
    </w:p>
    <w:p w14:paraId="7E7C2DE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having violative residues despite legal use of the pesticide according </w:t>
      </w:r>
    </w:p>
    <w:p w14:paraId="7CFB29C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 the label.</w:t>
      </w:r>
    </w:p>
    <w:p w14:paraId="4A7F809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87579C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C. Revisions to Petitioned-For Tolerances</w:t>
      </w:r>
    </w:p>
    <w:p w14:paraId="6DCD74F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7E0E533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EPA is establishing the tolerance at different levels than </w:t>
      </w:r>
    </w:p>
    <w:p w14:paraId="069A890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requested for: Apple, wet pomace; avocado; berry, low growing, subgroup </w:t>
      </w:r>
    </w:p>
    <w:p w14:paraId="718849C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13-07G; Brassica, leafy greens, subgroup 4-16B; caneberry subgroup 13-</w:t>
      </w:r>
    </w:p>
    <w:p w14:paraId="14834EE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07A; fruit, pome, group 11-10, except mayhaw; fruit, small, vine </w:t>
      </w:r>
    </w:p>
    <w:p w14:paraId="0C75E3A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climbing, except fuzzy kiwifruit, subgroup 13-07F; peach subgroup 12-</w:t>
      </w:r>
    </w:p>
    <w:p w14:paraId="21AC712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12B; pepper/eggplant subgroup 8-10B; pomegranate; sunflower (crop </w:t>
      </w:r>
    </w:p>
    <w:p w14:paraId="6F7E21C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subgroup 20B) and tomato subgroup 8-10A.</w:t>
      </w:r>
    </w:p>
    <w:p w14:paraId="54E216F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All trailing zeroes have been removed from the proposed tolerances </w:t>
      </w:r>
    </w:p>
    <w:p w14:paraId="00972B5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 be consistent with Organization for Economic Cooperation and </w:t>
      </w:r>
    </w:p>
    <w:p w14:paraId="426671E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Development (OECD) Rounding Class Practice. In addition, the proposed </w:t>
      </w:r>
    </w:p>
    <w:p w14:paraId="6F2BDDA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apple, wet pomace tolerance of 1.3 ppm has been established at 1.5 ppm </w:t>
      </w:r>
    </w:p>
    <w:p w14:paraId="00E3C40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because the value determined is rounded following the OECD rounding </w:t>
      </w:r>
    </w:p>
    <w:p w14:paraId="3CE3674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class practice.</w:t>
      </w:r>
    </w:p>
    <w:p w14:paraId="7AFEE85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To harmonize with the applicable international MRLs, the tolerances </w:t>
      </w:r>
    </w:p>
    <w:p w14:paraId="2025129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for fruit, pome, group 11-10, except mayhaw; fruit, small, vine </w:t>
      </w:r>
    </w:p>
    <w:p w14:paraId="4947571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climbing, except fuzzy kiwifruit, subgroup 13-07F; and tomato subgroup </w:t>
      </w:r>
    </w:p>
    <w:p w14:paraId="50E5E41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8-10A were established at higher limits than what was proposed.</w:t>
      </w:r>
    </w:p>
    <w:p w14:paraId="1E6BA65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 petitioner withdrew the change to the use pattern that would </w:t>
      </w:r>
    </w:p>
    <w:p w14:paraId="22DA021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have necessitated the change to the tolerance for Brassica, leafy </w:t>
      </w:r>
    </w:p>
    <w:p w14:paraId="20902BE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greens, subgroup 4-16B from 3.5 ppm to 15 ppm. EPA is establishing the </w:t>
      </w:r>
    </w:p>
    <w:p w14:paraId="55F182E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tolerance for Brassica, leafy greens, subgroup 4-16B at 4 ppm, based on </w:t>
      </w:r>
    </w:p>
    <w:p w14:paraId="2D36C78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crop group conversion of the established tolerance on Brassica, </w:t>
      </w:r>
    </w:p>
    <w:p w14:paraId="2991856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leafy greens, subgroup 5B and adjusting it to harmonize with the Codex </w:t>
      </w:r>
    </w:p>
    <w:p w14:paraId="4EB851F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MRL for mustard greens.</w:t>
      </w:r>
    </w:p>
    <w:p w14:paraId="102DEA8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 commodity definition for sunflower (crop subgroup 20B) has been </w:t>
      </w:r>
    </w:p>
    <w:p w14:paraId="4C8BA09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revised to sunflower subgroup 20B and the proposed tolerance at 0.01 </w:t>
      </w:r>
    </w:p>
    <w:p w14:paraId="239D001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has been established at 0.05 based on the current enforcement method </w:t>
      </w:r>
    </w:p>
    <w:p w14:paraId="5918A15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limit of quantitation (LOQ).</w:t>
      </w:r>
    </w:p>
    <w:p w14:paraId="20F312B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821336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D. International Trade Considerations</w:t>
      </w:r>
    </w:p>
    <w:p w14:paraId="1CBE7A4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265803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In this rule, EPA is establishing a lower tolerance for bifenthrin </w:t>
      </w:r>
    </w:p>
    <w:p w14:paraId="1AF4549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residues in or on groundcherry than the current tolerance. The current </w:t>
      </w:r>
    </w:p>
    <w:p w14:paraId="2A5EB8F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tolerance for groundcherry is 0.5 ppm, but groundcherry is a commodity </w:t>
      </w:r>
    </w:p>
    <w:p w14:paraId="0EEAC2D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in the proposed crop group expansion from tomato to tomato subgroup 8-</w:t>
      </w:r>
    </w:p>
    <w:p w14:paraId="5F413CD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10A, for which EPA is establishing a new tolerance in this rulemaking </w:t>
      </w:r>
    </w:p>
    <w:p w14:paraId="64C71D2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at 0.3 ppm. As a result, EPA intends for the allowable residues on </w:t>
      </w:r>
    </w:p>
    <w:p w14:paraId="45B64B5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groundcherry to be reduced. As discussed in EPA's crop grouping </w:t>
      </w:r>
    </w:p>
    <w:p w14:paraId="7D75313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rulemaking, EPA has determined that groundcherry is similar to tomatoes </w:t>
      </w:r>
    </w:p>
    <w:p w14:paraId="13ED879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appropriately categorized in subgroup 8-10A. See 72 FR 69150 (Dec. </w:t>
      </w:r>
    </w:p>
    <w:p w14:paraId="1A783EE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7, 2007). Based on residue data supporting the 0.3 ppm tolerance for </w:t>
      </w:r>
    </w:p>
    <w:p w14:paraId="12128FA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subgroup 8-10A and the similarity of groundcherry to tomatoes, EPA </w:t>
      </w:r>
    </w:p>
    <w:p w14:paraId="6D1D715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concludes that it is appropriate to reduce the tolerance on </w:t>
      </w:r>
    </w:p>
    <w:p w14:paraId="1D925D5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groundcherry as well.</w:t>
      </w:r>
    </w:p>
    <w:p w14:paraId="1312BB2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In accordance with the World Trade Organization's (WTO) Sanitary </w:t>
      </w:r>
    </w:p>
    <w:p w14:paraId="50A3838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Phytosanitary Measures (SPS) Agreement, EPA intends to notify the </w:t>
      </w:r>
    </w:p>
    <w:p w14:paraId="2BF9347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WTO of the changes to these tolerances in order to satisfy its </w:t>
      </w:r>
    </w:p>
    <w:p w14:paraId="125DDCE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obligations under the Agreement. In addition, the SPS Agreement </w:t>
      </w:r>
    </w:p>
    <w:p w14:paraId="35F1059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requires that Members provide a ``reasonable interval'' between the </w:t>
      </w:r>
    </w:p>
    <w:p w14:paraId="7A70C3C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publication of a regulation subject to the Agreement and its entry into </w:t>
      </w:r>
    </w:p>
    <w:p w14:paraId="53148E0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force to allow time for producers in exporting Member countries to </w:t>
      </w:r>
    </w:p>
    <w:p w14:paraId="5699747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adapt to the new requirement. Accordingly, EPA is establishing an </w:t>
      </w:r>
    </w:p>
    <w:p w14:paraId="5814DAF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expiration date for the existing tolerance to allow this tolerance to </w:t>
      </w:r>
    </w:p>
    <w:p w14:paraId="3321B76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remain in effect for a period of six months after the effective date of </w:t>
      </w:r>
    </w:p>
    <w:p w14:paraId="2F86040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this final rule. After the six-month period expires, this tolerance </w:t>
      </w:r>
    </w:p>
    <w:p w14:paraId="43551B9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will be reduced or revoked, as indicated in the regulatory text, and </w:t>
      </w:r>
    </w:p>
    <w:p w14:paraId="33105FA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allowable residues on groundcherry must conform to the tolerance for </w:t>
      </w:r>
    </w:p>
    <w:p w14:paraId="16323D7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subgroup 8-10A.</w:t>
      </w:r>
    </w:p>
    <w:p w14:paraId="206C059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This reduction in tolerance level is not discriminatory; the same </w:t>
      </w:r>
    </w:p>
    <w:p w14:paraId="6B1F877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food safety standard contained in the FFDCA applies equally to </w:t>
      </w:r>
    </w:p>
    <w:p w14:paraId="339D962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domestically produced and imported foods. The new tolerance level is </w:t>
      </w:r>
    </w:p>
    <w:p w14:paraId="3F957A6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supported by available residue data.</w:t>
      </w:r>
    </w:p>
    <w:p w14:paraId="6484C7E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4F5117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V. Conclusion</w:t>
      </w:r>
    </w:p>
    <w:p w14:paraId="58AC502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58B07E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Tolerances are established for residues of bifenthrin, (2-methyl </w:t>
      </w:r>
    </w:p>
    <w:p w14:paraId="21BA59A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[1,1'-biphenyl]-3-yl) methyl-3-(2-chloro-3,3,3,-trifluoro-1-propenyl)-</w:t>
      </w:r>
    </w:p>
    <w:p w14:paraId="050DE20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2,2-dimethylcyclopropanecarboxylate, in or on apple, wet pomace at 1.5 </w:t>
      </w:r>
    </w:p>
    <w:p w14:paraId="00A55DF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ppm; avocado at 0.5 ppm; berry, low growing, subgroup 13-07G at 3 ppm; </w:t>
      </w:r>
    </w:p>
    <w:p w14:paraId="6312BFB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Brassica, leafy greens, subgroup 4-16B at 4 ppm; caneberry subgroup 13-</w:t>
      </w:r>
    </w:p>
    <w:p w14:paraId="6152D54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07A at 1 ppm; fruit, citrus, group 10-10 at 0.05 ppm; fruit, pome; </w:t>
      </w:r>
    </w:p>
    <w:p w14:paraId="41CC263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group 11-10, except mayhaw at 0.9 ppm; fruit, small, vine climbing, </w:t>
      </w:r>
    </w:p>
    <w:p w14:paraId="4FE39CC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except fuzzy kiwifruit, subgroup 13-07F at 0.3 ppm; nut, tree, group </w:t>
      </w:r>
    </w:p>
    <w:p w14:paraId="6A02FF2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14-12 at 0.05 ppm; peach subgroup 12-12B at 0.7 ppm; pepper/eggplant </w:t>
      </w:r>
    </w:p>
    <w:p w14:paraId="100321C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subgroup 8-10B at 0.5 ppm; pomegranate at 0.5 ppm; sunflower subgroup </w:t>
      </w:r>
    </w:p>
    <w:p w14:paraId="6332D7D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20B at 0.05 ppm; and tomato subgroup 8-10A at 0.3 ppm.</w:t>
      </w:r>
    </w:p>
    <w:p w14:paraId="308FD83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 following tolerances are removed as unnecessary due to the </w:t>
      </w:r>
    </w:p>
    <w:p w14:paraId="196729F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establishment of the above tolerances: Brassica, leafy greens, subgroup </w:t>
      </w:r>
    </w:p>
    <w:p w14:paraId="25C112F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5B at 3.5 ppm; caneberry subgroup 13A at 1.0 ppm; eggplant at 0.05 ppm; </w:t>
      </w:r>
    </w:p>
    <w:p w14:paraId="7B005BD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fruit, citrus, group 10 at 0.05 ppm; grape at 0.2 ppm; nut, tree, group </w:t>
      </w:r>
    </w:p>
    <w:p w14:paraId="57D08BC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14 at 0.05 ppm; okra at 0.50 ppm; pear at 0.5 ppm; pepino at 0.5 ppm; </w:t>
      </w:r>
    </w:p>
    <w:p w14:paraId="768FBD3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pepper, bell at 0.5 ppm; pepper, nonbell at 0.5 ppm; pistachio at 0.05 </w:t>
      </w:r>
    </w:p>
    <w:p w14:paraId="035BCCD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ppm; strawberry at 3.0 ppm; tomato at 0.15 ppm; and turnip, greens at </w:t>
      </w:r>
    </w:p>
    <w:p w14:paraId="73CE1B5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3.5 ppm.</w:t>
      </w:r>
    </w:p>
    <w:p w14:paraId="44FC8EA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    Additionally, the following Section 18 time-limited tolerances are </w:t>
      </w:r>
    </w:p>
    <w:p w14:paraId="27F9B52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removed as unnecessary due to the establishment of the above permanent </w:t>
      </w:r>
    </w:p>
    <w:p w14:paraId="31A73EC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tolerances: Apple at 0.5 ppm; avocado at 0.50 ppm; nectarine at 0.5 </w:t>
      </w:r>
    </w:p>
    <w:p w14:paraId="78205F8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ppm; peach at 0.5 ppm; and pomegranate at 0.50 ppm.</w:t>
      </w:r>
    </w:p>
    <w:p w14:paraId="0CFE05A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Finally, EPA is setting a six-month expiration date for the current </w:t>
      </w:r>
    </w:p>
    <w:p w14:paraId="082BAD5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groundcherry tolerance at 0.5 ppm.</w:t>
      </w:r>
    </w:p>
    <w:p w14:paraId="0EA4A12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CC6BC1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VI. Statutory and Executive Order Reviews</w:t>
      </w:r>
    </w:p>
    <w:p w14:paraId="4F29B7C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E7C6B2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This action establishes tolerances under FFDCA section 408(d) in </w:t>
      </w:r>
    </w:p>
    <w:p w14:paraId="56281F9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response to petitions submitted to the Agency. The Office of Management </w:t>
      </w:r>
    </w:p>
    <w:p w14:paraId="5C50F54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Budget (OMB) has exempted these types of actions from review under </w:t>
      </w:r>
    </w:p>
    <w:p w14:paraId="28DF076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Executive Order 12866, entitled ``Regulatory Planning and Review'' (58 </w:t>
      </w:r>
    </w:p>
    <w:p w14:paraId="0F2AD28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FR 51735, October 4, 1993). Because this action has been exempted from </w:t>
      </w:r>
    </w:p>
    <w:p w14:paraId="78DA768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review under Executive Order 12866, this action is not subject to </w:t>
      </w:r>
    </w:p>
    <w:p w14:paraId="700206C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Executive Order 13211, entitled ``Actions Concerning Regulations That </w:t>
      </w:r>
    </w:p>
    <w:p w14:paraId="18CC377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Significantly Affect Energy Supply, Distribution, or Use'' (66 FR </w:t>
      </w:r>
    </w:p>
    <w:p w14:paraId="6D78012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28355, May 22, 2001) or Executive Order 13045, entitled ``Protection of </w:t>
      </w:r>
    </w:p>
    <w:p w14:paraId="2FD229B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Children from Environmental Health Risks and Safety Risks'' (62 FR </w:t>
      </w:r>
    </w:p>
    <w:p w14:paraId="2C97097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19885, April 23, 1997), nor is it considered a regulatory action under </w:t>
      </w:r>
    </w:p>
    <w:p w14:paraId="395274E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Executive Order 13771, entitled ``Reducing Regulations and Controlling </w:t>
      </w:r>
    </w:p>
    <w:p w14:paraId="2B5C23A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Regulatory Costs'' (82 FR 9339, February 3, 2017). This action</w:t>
      </w:r>
    </w:p>
    <w:p w14:paraId="08D1888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97067D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[[Page 68158]]</w:t>
      </w:r>
    </w:p>
    <w:p w14:paraId="184D263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2BF9D7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does not contain any information collections subject to OMB approval </w:t>
      </w:r>
    </w:p>
    <w:p w14:paraId="6C07B7E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under the Paperwork Reduction Act (PRA) (44 U.S.C. 3501 et seq.), nor </w:t>
      </w:r>
    </w:p>
    <w:p w14:paraId="7F26765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does it require any special considerations under Executive Order 12898, </w:t>
      </w:r>
    </w:p>
    <w:p w14:paraId="019824E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entitled ``Federal Actions to Address Environmental Justice in Minority </w:t>
      </w:r>
    </w:p>
    <w:p w14:paraId="44CC9EA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Populations and Low-Income Populations'' (59 FR 7629, February 16, </w:t>
      </w:r>
    </w:p>
    <w:p w14:paraId="78EEC28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1994).</w:t>
      </w:r>
    </w:p>
    <w:p w14:paraId="7AAACA1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Since tolerances and exemptions that are established on the basis </w:t>
      </w:r>
    </w:p>
    <w:p w14:paraId="051845D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of a petition under FFDCA section 408(d), such as the tolerances in </w:t>
      </w:r>
    </w:p>
    <w:p w14:paraId="0F3C802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this final rule, do not require the issuance of a proposed rule, the </w:t>
      </w:r>
    </w:p>
    <w:p w14:paraId="1F0D4EB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requirements of the Regulatory Flexibility Act (RFA) (5 U.S.C. 601 et </w:t>
      </w:r>
    </w:p>
    <w:p w14:paraId="5C9136D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seq.), do not apply.</w:t>
      </w:r>
    </w:p>
    <w:p w14:paraId="49F2B69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This action directly regulates growers, food processors, food </w:t>
      </w:r>
    </w:p>
    <w:p w14:paraId="7F52C34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handlers, and food retailers, not States or Tribes, nor does this </w:t>
      </w:r>
    </w:p>
    <w:p w14:paraId="251B26A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action alter the relationships or distribution of power and </w:t>
      </w:r>
    </w:p>
    <w:p w14:paraId="1DA6D22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responsibilities established by Congress in the preemption provisions </w:t>
      </w:r>
    </w:p>
    <w:p w14:paraId="23D9C55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of FFDCA section 408(n)(4). As such, the Agency has determined that </w:t>
      </w:r>
    </w:p>
    <w:p w14:paraId="74746EE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this action will not have a substantial direct effect on States or </w:t>
      </w:r>
    </w:p>
    <w:p w14:paraId="31CF54A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Tribal Governments, on the relationship between the National Government </w:t>
      </w:r>
    </w:p>
    <w:p w14:paraId="79EF887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the States or Tribal Governments, or on the distribution of power </w:t>
      </w:r>
    </w:p>
    <w:p w14:paraId="755362D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and responsibilities among the various levels of government or between </w:t>
      </w:r>
    </w:p>
    <w:p w14:paraId="1B02FC9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Federal Government and Indian Tribes. Thus, the Agency has </w:t>
      </w:r>
    </w:p>
    <w:p w14:paraId="5CA1E34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determined that Executive Order 13132, entitled ``Federalism'' (64 FR </w:t>
      </w:r>
    </w:p>
    <w:p w14:paraId="49992F9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43255, August 10, 1999) and Executive Order 13175, entitled </w:t>
      </w:r>
    </w:p>
    <w:p w14:paraId="14C3F6B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``Consultation and Coordination with Indian Tribal Governments'' (65 FR </w:t>
      </w:r>
    </w:p>
    <w:p w14:paraId="3CDDC20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67249, November 9, 2000) do not apply to this action. In addition, this </w:t>
      </w:r>
    </w:p>
    <w:p w14:paraId="2269225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action does not impose any enforceable duty or contain any unfunded </w:t>
      </w:r>
    </w:p>
    <w:p w14:paraId="36574C5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mandate as described under Title II of the Unfunded Mandates Reform Act </w:t>
      </w:r>
    </w:p>
    <w:p w14:paraId="4E19165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(UMRA) (2 U.S.C. 1501 et seq.).</w:t>
      </w:r>
    </w:p>
    <w:p w14:paraId="337B45A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This action does not involve any technical standards that would </w:t>
      </w:r>
    </w:p>
    <w:p w14:paraId="1B2AD72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require Agency consideration of voluntary consensus standards pursuant </w:t>
      </w:r>
    </w:p>
    <w:p w14:paraId="558DC13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to section 12(d) of the National Technology Transfer and Advancement </w:t>
      </w:r>
    </w:p>
    <w:p w14:paraId="3A3991E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Act (NTTAA) (15 U.S.C. 272 note).</w:t>
      </w:r>
    </w:p>
    <w:p w14:paraId="4DA0071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F3DD17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VII. Congressional Review Act</w:t>
      </w:r>
    </w:p>
    <w:p w14:paraId="51993AE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7E74F7F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Pursuant to the Congressional Review Act (5 U.S.C. 801 et seq.), </w:t>
      </w:r>
    </w:p>
    <w:p w14:paraId="6858E4D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EPA will submit a report containing this rule and other required </w:t>
      </w:r>
    </w:p>
    <w:p w14:paraId="354F00F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information to the U.S. Senate, the U.S. House of Representatives, and </w:t>
      </w:r>
    </w:p>
    <w:p w14:paraId="32E4D1C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Comptroller General of the United States prior to publication of </w:t>
      </w:r>
    </w:p>
    <w:p w14:paraId="0F51B00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 rule in the Federal Register. This action is not a ``major rule'' </w:t>
      </w:r>
    </w:p>
    <w:p w14:paraId="4BDA5DA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as defined by 5 U.S.C. 804(2).</w:t>
      </w:r>
    </w:p>
    <w:p w14:paraId="13486F9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CEEDBF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List of Subjects in 40 CFR Part 180</w:t>
      </w:r>
    </w:p>
    <w:p w14:paraId="527944D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153734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Environmental protection, Administrative practice and procedure, </w:t>
      </w:r>
    </w:p>
    <w:p w14:paraId="49795B7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Agricultural commodities, Pesticides and pests, Reporting and </w:t>
      </w:r>
    </w:p>
    <w:p w14:paraId="4FB65EF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recordkeeping requirements.</w:t>
      </w:r>
    </w:p>
    <w:p w14:paraId="2266CE5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D062BC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Dated: November 10, 2021.</w:t>
      </w:r>
    </w:p>
    <w:p w14:paraId="50C970A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Marietta Echeverria,</w:t>
      </w:r>
    </w:p>
    <w:p w14:paraId="5AF3222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Acting Director, Registration Division, Office of Pesticide Programs.</w:t>
      </w:r>
    </w:p>
    <w:p w14:paraId="3C717B6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897B3F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Therefore, for the reasons stated in the preamble, EPA is amending </w:t>
      </w:r>
    </w:p>
    <w:p w14:paraId="1EE1237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40 CFR chapter I as follows:</w:t>
      </w:r>
    </w:p>
    <w:p w14:paraId="3E1A604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4ED3C2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PART 180--TOLERANCES AND EXEMPTIONS FOR PESTICIDE CHEMICAL RESIDUES </w:t>
      </w:r>
    </w:p>
    <w:p w14:paraId="6C2A216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IN FOOD</w:t>
      </w:r>
    </w:p>
    <w:p w14:paraId="27512A5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FD21A0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6A3E6BB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 The authority citation for part 180 continues to read as follows:</w:t>
      </w:r>
    </w:p>
    <w:p w14:paraId="77B83E2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723527B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Authority: 21 U.S.C. 321(q), 346a and 371.</w:t>
      </w:r>
    </w:p>
    <w:p w14:paraId="7C42B29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25CAFDF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777E9B5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2. Amend Sec.  180.442 by:</w:t>
      </w:r>
    </w:p>
    <w:p w14:paraId="4F1B316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6143F92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a. In the table in paragraph (a)(1)</w:t>
      </w:r>
    </w:p>
    <w:p w14:paraId="07B9AC0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790A3D9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i. Adding in alphabetical order the commodities: ``Apple, wet pomace''; </w:t>
      </w:r>
    </w:p>
    <w:p w14:paraId="18EAE0D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``Avocado''; ``Berry, low growing, subgroup 13-07G''; ``Brassica, leafy </w:t>
      </w:r>
    </w:p>
    <w:p w14:paraId="05C171E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greens, subgroup 4-16B'';</w:t>
      </w:r>
    </w:p>
    <w:p w14:paraId="693B68C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2730A86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ii Removing the commodities: ``Brassica, leafy greens, subgroup 5B''; </w:t>
      </w:r>
    </w:p>
    <w:p w14:paraId="10B8B9F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``Caneberry subgroup 13A'';</w:t>
      </w:r>
    </w:p>
    <w:p w14:paraId="19C387C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7D3BF27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iii. Adding in alphabetical order the commodity ``Caneberry subgroup </w:t>
      </w:r>
    </w:p>
    <w:p w14:paraId="7FD0D88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13-07A'';</w:t>
      </w:r>
    </w:p>
    <w:p w14:paraId="0A0EA5A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6EF5DAF2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iv. Removing the commodities ``Eggplant''; ``Fruit, citrus, group 10'';</w:t>
      </w:r>
    </w:p>
    <w:p w14:paraId="68DD699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1129242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v. Adding in alphabetical order the commodities ``Fruit, citrus, group </w:t>
      </w:r>
    </w:p>
    <w:p w14:paraId="725D5CA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10-10''; ``Fruit, pome, group 11-10, except mayhaw''; ``Fruit, small, </w:t>
      </w:r>
    </w:p>
    <w:p w14:paraId="02B9A85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vine climbing, except fuzzy kiwifruit, subgroup 13-07F'';</w:t>
      </w:r>
    </w:p>
    <w:p w14:paraId="277B50A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40D1914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vi. Removing the commodity ``Grape'';</w:t>
      </w:r>
    </w:p>
    <w:p w14:paraId="42BF184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38131A3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vii. Revising the entry for ``Groundcherry''</w:t>
      </w:r>
    </w:p>
    <w:p w14:paraId="4FE148D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10B4DF1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viii. Removing the commodity ``Nut, tree, group 14'';</w:t>
      </w:r>
    </w:p>
    <w:p w14:paraId="05DF2D8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5DE35CE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ix. Adding in alphabetical order the commodity ``Nut, tree, group 14-</w:t>
      </w:r>
    </w:p>
    <w:p w14:paraId="766FEC3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12'';</w:t>
      </w:r>
    </w:p>
    <w:p w14:paraId="3EC62C8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53A757E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x. Removing the commodity ``Okra'';</w:t>
      </w:r>
    </w:p>
    <w:p w14:paraId="55E4852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3AD5C8A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xi. Adding in alphabetical order the commodity ``Peach subgroup 12-</w:t>
      </w:r>
    </w:p>
    <w:p w14:paraId="3680203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12B''</w:t>
      </w:r>
    </w:p>
    <w:p w14:paraId="6C618F0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75B8518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xii. Removing the commodities ``Pear''; ``Pepino''; ``Pepper, bell''; </w:t>
      </w:r>
    </w:p>
    <w:p w14:paraId="3B1CE0E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``Pepper, nonbell'';</w:t>
      </w:r>
    </w:p>
    <w:p w14:paraId="5DEC68D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517FBE8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xiii. Adding in alphabetical order the commodity ``Pepper/eggplant </w:t>
      </w:r>
    </w:p>
    <w:p w14:paraId="2CBE000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subgroup 8-10B'';</w:t>
      </w:r>
    </w:p>
    <w:p w14:paraId="1013564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50E267F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xiv. Removing the commodity ``Pistachio''</w:t>
      </w:r>
    </w:p>
    <w:p w14:paraId="18BB5E1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6714D59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xv, Adding in alphabetical order the commodity ``Pomegranate'';</w:t>
      </w:r>
    </w:p>
    <w:p w14:paraId="2553082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7D6BA0A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xvi. Removing the commodity ``Strawberry'';</w:t>
      </w:r>
    </w:p>
    <w:p w14:paraId="24FEBEC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5BEA5E7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xvii. Adding in alphabetical order the commodity ``Sunflower subgroup </w:t>
      </w:r>
    </w:p>
    <w:p w14:paraId="4936EA9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20B'';</w:t>
      </w:r>
    </w:p>
    <w:p w14:paraId="5AD1E01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408ED8A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xviii. Removing the commodity ``Tomato'';</w:t>
      </w:r>
    </w:p>
    <w:p w14:paraId="43195F2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3F63F34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xix. Adding in alphabetical order the commodity ``Tomato subgroup 8-</w:t>
      </w:r>
    </w:p>
    <w:p w14:paraId="787970D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10A''; and</w:t>
      </w:r>
    </w:p>
    <w:p w14:paraId="65E9E35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58C312D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xx. Removing the commodity ``Turnip, greens''.</w:t>
      </w:r>
    </w:p>
    <w:p w14:paraId="4EB594B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0</w:t>
      </w:r>
    </w:p>
    <w:p w14:paraId="27174AE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b. Remove and reserve paragraph (b).</w:t>
      </w:r>
    </w:p>
    <w:p w14:paraId="43A18DF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The additions and revisions read as follows.</w:t>
      </w:r>
    </w:p>
    <w:p w14:paraId="27D0BF0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E3C8DF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441FE9B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Sec.  180.442   Bifenthrin; tolerances for residues.</w:t>
      </w:r>
    </w:p>
    <w:p w14:paraId="1756044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59EEAF6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(a)(1) * * *</w:t>
      </w:r>
    </w:p>
    <w:p w14:paraId="34CB97D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18D37B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------------------------------------------------------------------------</w:t>
      </w:r>
    </w:p>
    <w:p w14:paraId="219F908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                               Parts per</w:t>
      </w:r>
    </w:p>
    <w:p w14:paraId="01780FC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Commodity                             million</w:t>
      </w:r>
    </w:p>
    <w:p w14:paraId="7601A23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------------------------------------------------------------------------</w:t>
      </w:r>
    </w:p>
    <w:p w14:paraId="37B7F4A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14:paraId="2732676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* * * * * * *</w:t>
      </w:r>
    </w:p>
    <w:p w14:paraId="53B5394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Apple, wet pomace.......................................             1.5</w:t>
      </w:r>
    </w:p>
    <w:p w14:paraId="6A640DD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14:paraId="1B75081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* * * * * * *</w:t>
      </w:r>
    </w:p>
    <w:p w14:paraId="73C5342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Avocado.................................................             0.5</w:t>
      </w:r>
    </w:p>
    <w:p w14:paraId="6F6E7A0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14:paraId="7C4D6CC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* * * * * * *</w:t>
      </w:r>
    </w:p>
    <w:p w14:paraId="4153450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Berry, low growing, subgroup 13-07G.....................               3</w:t>
      </w:r>
    </w:p>
    <w:p w14:paraId="328C91B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14:paraId="55BFB1D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* * * * * * *</w:t>
      </w:r>
    </w:p>
    <w:p w14:paraId="3617399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Brassica, leafy greens, subgroup 4-16B..................               4</w:t>
      </w:r>
    </w:p>
    <w:p w14:paraId="3409023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14:paraId="58A6BFD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* * * * * * *</w:t>
      </w:r>
    </w:p>
    <w:p w14:paraId="101A560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Caneberry subgroup 13-07A...............................               1</w:t>
      </w:r>
    </w:p>
    <w:p w14:paraId="5D620EF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5E6340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[[Page 68159]]</w:t>
      </w:r>
    </w:p>
    <w:p w14:paraId="3B673096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00BFB2E1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14:paraId="553E00AF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14:paraId="46AD141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* * * * * * *</w:t>
      </w:r>
    </w:p>
    <w:p w14:paraId="78E8857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Fruit, citrus, group 10-10..............................            0.05</w:t>
      </w:r>
    </w:p>
    <w:p w14:paraId="0B55925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Fruit, pome, group 11-10, except mayhaw.................             0.9</w:t>
      </w:r>
    </w:p>
    <w:p w14:paraId="6CDB87D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Fruit, small, vine climbing, except fuzzy kiwifruit,                 0.3</w:t>
      </w:r>
    </w:p>
    <w:p w14:paraId="3CF72F7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subgroup 13-07F........................................</w:t>
      </w:r>
    </w:p>
    <w:p w14:paraId="71E441CA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14:paraId="5CBCDB9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* * * * * * *</w:t>
      </w:r>
    </w:p>
    <w:p w14:paraId="5442125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Groundcherry \2\........................................             0.5</w:t>
      </w:r>
    </w:p>
    <w:p w14:paraId="05C67A9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14:paraId="2A58897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* * * * * * *</w:t>
      </w:r>
    </w:p>
    <w:p w14:paraId="219E084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Nut, tree, group 14-12..................................            0.05</w:t>
      </w:r>
    </w:p>
    <w:p w14:paraId="46AF425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14:paraId="4C8FC05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* * * * * * *</w:t>
      </w:r>
    </w:p>
    <w:p w14:paraId="41D2BC2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Peach subgroup 12-12B...................................             0.7</w:t>
      </w:r>
    </w:p>
    <w:p w14:paraId="4C89B36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 </w:t>
      </w:r>
    </w:p>
    <w:p w14:paraId="59B48B4D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* * * * * * *</w:t>
      </w:r>
    </w:p>
    <w:p w14:paraId="7E50DFB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Pepper/eggplant subgroup 8-10B..........................             0.5</w:t>
      </w:r>
    </w:p>
    <w:p w14:paraId="7FA43C8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Pomegranate.............................................             0.5</w:t>
      </w:r>
    </w:p>
    <w:p w14:paraId="5AB33CBE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14:paraId="292E314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* * * * * * *</w:t>
      </w:r>
    </w:p>
    <w:p w14:paraId="6C25F624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Sunflower subgroup 20B..................................            0.05</w:t>
      </w:r>
    </w:p>
    <w:p w14:paraId="0760B28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14:paraId="23AC8FE0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* * * * * * *</w:t>
      </w:r>
    </w:p>
    <w:p w14:paraId="2E1840C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Tomato subgroup 8-10A...................................             0.3</w:t>
      </w:r>
    </w:p>
    <w:p w14:paraId="73798879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14:paraId="18759208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                 * * * * * * *</w:t>
      </w:r>
    </w:p>
    <w:p w14:paraId="716FEAFC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------------------------------------------------------------------------</w:t>
      </w:r>
    </w:p>
    <w:p w14:paraId="6D96BA95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\1\There are no U.S. registrations.</w:t>
      </w:r>
    </w:p>
    <w:p w14:paraId="4A80DBD7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\2\ This tolerance expires on June 1, 2022.</w:t>
      </w:r>
    </w:p>
    <w:p w14:paraId="4C7EAEB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33021DC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* * * * *</w:t>
      </w:r>
    </w:p>
    <w:p w14:paraId="733DB0C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[FR Doc. 2021-25091 Filed 11-30-21; 8:45 am]</w:t>
      </w:r>
    </w:p>
    <w:p w14:paraId="20B315A3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AE610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BILLING CODE 6560-50-P</w:t>
      </w:r>
    </w:p>
    <w:p w14:paraId="1151DE2B" w14:textId="77777777" w:rsidR="00AE6106" w:rsidRPr="00AE6106" w:rsidRDefault="00AE6106" w:rsidP="00A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053B9EE" w14:textId="77777777" w:rsidR="00E30F31" w:rsidRPr="00AE6106" w:rsidRDefault="00E30F31">
      <w:pPr>
        <w:rPr>
          <w:rFonts w:asciiTheme="majorHAnsi" w:hAnsiTheme="majorHAnsi" w:cstheme="majorHAnsi"/>
          <w:sz w:val="26"/>
          <w:szCs w:val="26"/>
          <w:lang w:val="en-US"/>
        </w:rPr>
      </w:pPr>
    </w:p>
    <w:sectPr w:rsidR="00E30F31" w:rsidRPr="00AE6106" w:rsidSect="00EA796C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66"/>
    <w:rsid w:val="00102C66"/>
    <w:rsid w:val="00AE6106"/>
    <w:rsid w:val="00E30F31"/>
    <w:rsid w:val="00E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8F229"/>
  <w15:chartTrackingRefBased/>
  <w15:docId w15:val="{E5E979BA-DD1E-4218-B7FE-1BF3946C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6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vi-V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6106"/>
    <w:rPr>
      <w:rFonts w:ascii="Courier New" w:eastAsia="Times New Roman" w:hAnsi="Courier New" w:cs="Courier New"/>
      <w:sz w:val="20"/>
      <w:szCs w:val="20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AE6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18" Type="http://schemas.openxmlformats.org/officeDocument/2006/relationships/hyperlink" Target="http://www.regulations.g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siduemethods@epa.gov" TargetMode="Externa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hyperlink" Target="http://www2.epa.gov/pesticide-science-and-assessing-pesticide-risks/standard-operating-procedures-residential-pestici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epa.gov/pesticide-science-and-assessing-pesticide-risks/about-water-exposure-models-used-pesticide" TargetMode="External"/><Relationship Id="rId20" Type="http://schemas.openxmlformats.org/officeDocument/2006/relationships/hyperlink" Target="https://www.epa.gov/ingredients-used-pesticide-products/pyrethrins-and-pyrethroid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hyperlink" Target="http://www2.epa.gov/pesticide-science-and-assessing-pesticide-risks/assessing-human-health-risk-pesticid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pa.gov/dockets/where-send-comments-epa-dockets" TargetMode="External"/><Relationship Id="rId19" Type="http://schemas.openxmlformats.org/officeDocument/2006/relationships/hyperlink" Target="http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regulations.g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9121</Words>
  <Characters>51993</Characters>
  <Application>Microsoft Office Word</Application>
  <DocSecurity>0</DocSecurity>
  <Lines>433</Lines>
  <Paragraphs>121</Paragraphs>
  <ScaleCrop>false</ScaleCrop>
  <Company/>
  <LinksUpToDate>false</LinksUpToDate>
  <CharactersWithSpaces>60993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Ha</dc:creator>
  <cp:keywords/>
  <dc:description/>
  <cp:lastModifiedBy>Mai Ha</cp:lastModifiedBy>
  <cp:revision>2</cp:revision>
  <dcterms:created xsi:type="dcterms:W3CDTF">2021-12-31T07:44:00Z</dcterms:created>
  <dcterms:modified xsi:type="dcterms:W3CDTF">2021-12-31T07:44:00Z</dcterms:modified>
</cp:coreProperties>
</file>